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85D47" w14:textId="77777777" w:rsidR="00AF11CF" w:rsidRDefault="00884156" w:rsidP="00884156">
      <w:pPr>
        <w:jc w:val="center"/>
        <w:rPr>
          <w:b/>
          <w:sz w:val="24"/>
          <w:szCs w:val="24"/>
          <w:u w:val="single"/>
        </w:rPr>
      </w:pPr>
      <w:r>
        <w:rPr>
          <w:b/>
          <w:sz w:val="24"/>
          <w:szCs w:val="24"/>
          <w:u w:val="single"/>
        </w:rPr>
        <w:t>AMPERSAND MED</w:t>
      </w:r>
      <w:r w:rsidR="00AF11CF">
        <w:rPr>
          <w:b/>
          <w:sz w:val="24"/>
          <w:szCs w:val="24"/>
          <w:u w:val="single"/>
        </w:rPr>
        <w:t>ICAL</w:t>
      </w:r>
      <w:r>
        <w:rPr>
          <w:b/>
          <w:sz w:val="24"/>
          <w:szCs w:val="24"/>
          <w:u w:val="single"/>
        </w:rPr>
        <w:t xml:space="preserve"> NEG</w:t>
      </w:r>
      <w:r w:rsidR="00AF11CF">
        <w:rPr>
          <w:b/>
          <w:sz w:val="24"/>
          <w:szCs w:val="24"/>
          <w:u w:val="single"/>
        </w:rPr>
        <w:t>LIGENCE</w:t>
      </w:r>
      <w:r>
        <w:rPr>
          <w:b/>
          <w:sz w:val="24"/>
          <w:szCs w:val="24"/>
          <w:u w:val="single"/>
        </w:rPr>
        <w:t xml:space="preserve"> CONFERENCE</w:t>
      </w:r>
    </w:p>
    <w:p w14:paraId="12C5AF9D" w14:textId="77777777" w:rsidR="00CD6803" w:rsidRDefault="00CD6803" w:rsidP="00884156">
      <w:pPr>
        <w:jc w:val="center"/>
        <w:rPr>
          <w:b/>
          <w:sz w:val="24"/>
          <w:szCs w:val="24"/>
          <w:u w:val="single"/>
        </w:rPr>
      </w:pPr>
    </w:p>
    <w:p w14:paraId="71C32D42" w14:textId="444159F5" w:rsidR="00AD0FDE" w:rsidRPr="00AF11CF" w:rsidRDefault="00AF11CF" w:rsidP="00884156">
      <w:pPr>
        <w:jc w:val="center"/>
        <w:rPr>
          <w:b/>
          <w:sz w:val="24"/>
          <w:szCs w:val="24"/>
        </w:rPr>
      </w:pPr>
      <w:r w:rsidRPr="00AF11CF">
        <w:rPr>
          <w:b/>
          <w:sz w:val="24"/>
          <w:szCs w:val="24"/>
        </w:rPr>
        <w:t xml:space="preserve"> 17 June 2019</w:t>
      </w:r>
    </w:p>
    <w:p w14:paraId="67AC3F33" w14:textId="77777777" w:rsidR="00884156" w:rsidRDefault="00884156" w:rsidP="00884156">
      <w:pPr>
        <w:jc w:val="center"/>
        <w:rPr>
          <w:b/>
          <w:sz w:val="24"/>
          <w:szCs w:val="24"/>
          <w:u w:val="single"/>
        </w:rPr>
      </w:pPr>
    </w:p>
    <w:p w14:paraId="56017C0A" w14:textId="137B8DB0" w:rsidR="00884156" w:rsidRDefault="00AF11CF" w:rsidP="00884156">
      <w:pPr>
        <w:jc w:val="center"/>
        <w:rPr>
          <w:b/>
          <w:sz w:val="24"/>
          <w:szCs w:val="24"/>
        </w:rPr>
      </w:pPr>
      <w:r>
        <w:rPr>
          <w:b/>
          <w:sz w:val="24"/>
          <w:szCs w:val="24"/>
        </w:rPr>
        <w:t>“</w:t>
      </w:r>
      <w:r w:rsidR="00884156">
        <w:rPr>
          <w:b/>
          <w:sz w:val="24"/>
          <w:szCs w:val="24"/>
        </w:rPr>
        <w:t>Procedural issues in clinical negligence litigation</w:t>
      </w:r>
      <w:r>
        <w:rPr>
          <w:b/>
          <w:sz w:val="24"/>
          <w:szCs w:val="24"/>
        </w:rPr>
        <w:t>”, by Euan Mackenzie Q.C.</w:t>
      </w:r>
    </w:p>
    <w:p w14:paraId="120076C9" w14:textId="77777777" w:rsidR="00884156" w:rsidRDefault="00884156" w:rsidP="00884156">
      <w:pPr>
        <w:jc w:val="center"/>
        <w:rPr>
          <w:b/>
          <w:sz w:val="24"/>
          <w:szCs w:val="24"/>
        </w:rPr>
      </w:pPr>
    </w:p>
    <w:p w14:paraId="21663775" w14:textId="696A3ED8" w:rsidR="00054684" w:rsidRPr="00054684" w:rsidRDefault="00054684" w:rsidP="00054684">
      <w:pPr>
        <w:pStyle w:val="ListParagraph"/>
        <w:spacing w:line="360" w:lineRule="auto"/>
        <w:jc w:val="both"/>
        <w:rPr>
          <w:b/>
          <w:sz w:val="24"/>
          <w:szCs w:val="24"/>
          <w:u w:val="single"/>
        </w:rPr>
      </w:pPr>
      <w:r w:rsidRPr="00054684">
        <w:rPr>
          <w:b/>
          <w:sz w:val="24"/>
          <w:szCs w:val="24"/>
          <w:u w:val="single"/>
        </w:rPr>
        <w:t>Introduction</w:t>
      </w:r>
    </w:p>
    <w:p w14:paraId="3EAA9060" w14:textId="30717C15" w:rsidR="00766080" w:rsidRDefault="00766080" w:rsidP="00EC7F23">
      <w:pPr>
        <w:pStyle w:val="ListParagraph"/>
        <w:numPr>
          <w:ilvl w:val="0"/>
          <w:numId w:val="1"/>
        </w:numPr>
        <w:spacing w:line="360" w:lineRule="auto"/>
        <w:jc w:val="both"/>
        <w:rPr>
          <w:sz w:val="24"/>
          <w:szCs w:val="24"/>
        </w:rPr>
      </w:pPr>
      <w:r>
        <w:rPr>
          <w:sz w:val="24"/>
          <w:szCs w:val="24"/>
        </w:rPr>
        <w:t>Introduction</w:t>
      </w:r>
    </w:p>
    <w:p w14:paraId="794640D5" w14:textId="64BDB68E" w:rsidR="00E72906" w:rsidRDefault="000431C4" w:rsidP="00E72906">
      <w:pPr>
        <w:pStyle w:val="ListParagraph"/>
        <w:numPr>
          <w:ilvl w:val="0"/>
          <w:numId w:val="10"/>
        </w:numPr>
        <w:spacing w:line="360" w:lineRule="auto"/>
        <w:jc w:val="both"/>
        <w:rPr>
          <w:sz w:val="24"/>
          <w:szCs w:val="24"/>
        </w:rPr>
      </w:pPr>
      <w:r>
        <w:rPr>
          <w:sz w:val="24"/>
          <w:szCs w:val="24"/>
        </w:rPr>
        <w:t xml:space="preserve">My talk is a </w:t>
      </w:r>
      <w:r w:rsidR="00E31663">
        <w:rPr>
          <w:sz w:val="24"/>
          <w:szCs w:val="24"/>
        </w:rPr>
        <w:t>high level overview that s</w:t>
      </w:r>
      <w:r w:rsidR="00E72906">
        <w:rPr>
          <w:sz w:val="24"/>
          <w:szCs w:val="24"/>
        </w:rPr>
        <w:t>eek</w:t>
      </w:r>
      <w:r w:rsidR="00E31663">
        <w:rPr>
          <w:sz w:val="24"/>
          <w:szCs w:val="24"/>
        </w:rPr>
        <w:t>s</w:t>
      </w:r>
      <w:r w:rsidR="00E72906">
        <w:rPr>
          <w:sz w:val="24"/>
          <w:szCs w:val="24"/>
        </w:rPr>
        <w:t xml:space="preserve"> to stimulate </w:t>
      </w:r>
      <w:r w:rsidR="00E31663">
        <w:rPr>
          <w:sz w:val="24"/>
          <w:szCs w:val="24"/>
        </w:rPr>
        <w:t xml:space="preserve">thought and </w:t>
      </w:r>
      <w:r w:rsidR="00E72906">
        <w:rPr>
          <w:sz w:val="24"/>
          <w:szCs w:val="24"/>
        </w:rPr>
        <w:t xml:space="preserve">discussion rather than </w:t>
      </w:r>
      <w:r w:rsidR="00E31663">
        <w:rPr>
          <w:sz w:val="24"/>
          <w:szCs w:val="24"/>
        </w:rPr>
        <w:t xml:space="preserve">setting out the procedure in detail </w:t>
      </w:r>
      <w:r w:rsidR="00F15278">
        <w:rPr>
          <w:sz w:val="24"/>
          <w:szCs w:val="24"/>
        </w:rPr>
        <w:t>and/</w:t>
      </w:r>
      <w:r w:rsidR="00E31663">
        <w:rPr>
          <w:sz w:val="24"/>
          <w:szCs w:val="24"/>
        </w:rPr>
        <w:t xml:space="preserve">or </w:t>
      </w:r>
      <w:r w:rsidR="00E72906">
        <w:rPr>
          <w:sz w:val="24"/>
          <w:szCs w:val="24"/>
        </w:rPr>
        <w:t>providing all of the answers</w:t>
      </w:r>
      <w:r w:rsidR="0070464C">
        <w:rPr>
          <w:sz w:val="24"/>
          <w:szCs w:val="24"/>
        </w:rPr>
        <w:t>!</w:t>
      </w:r>
    </w:p>
    <w:p w14:paraId="253DBC0A" w14:textId="4C638806" w:rsidR="00054684" w:rsidRPr="00054684" w:rsidRDefault="00054684" w:rsidP="00054684">
      <w:pPr>
        <w:pStyle w:val="ListParagraph"/>
        <w:spacing w:line="360" w:lineRule="auto"/>
        <w:jc w:val="both"/>
        <w:rPr>
          <w:b/>
          <w:sz w:val="24"/>
          <w:szCs w:val="24"/>
          <w:u w:val="single"/>
        </w:rPr>
      </w:pPr>
      <w:r w:rsidRPr="00054684">
        <w:rPr>
          <w:b/>
          <w:sz w:val="24"/>
          <w:szCs w:val="24"/>
          <w:u w:val="single"/>
        </w:rPr>
        <w:t>Structure</w:t>
      </w:r>
    </w:p>
    <w:p w14:paraId="4915A631" w14:textId="280083BC" w:rsidR="00E72906" w:rsidRDefault="00E72906" w:rsidP="0070464C">
      <w:pPr>
        <w:pStyle w:val="ListParagraph"/>
        <w:numPr>
          <w:ilvl w:val="0"/>
          <w:numId w:val="1"/>
        </w:numPr>
        <w:spacing w:line="360" w:lineRule="auto"/>
        <w:jc w:val="both"/>
        <w:rPr>
          <w:sz w:val="24"/>
          <w:szCs w:val="24"/>
        </w:rPr>
      </w:pPr>
      <w:r w:rsidRPr="0070464C">
        <w:rPr>
          <w:sz w:val="24"/>
          <w:szCs w:val="24"/>
        </w:rPr>
        <w:t>Structure of talk</w:t>
      </w:r>
    </w:p>
    <w:p w14:paraId="44CF84E5" w14:textId="5D3CE143" w:rsidR="00E72906" w:rsidRDefault="00E72906" w:rsidP="0070464C">
      <w:pPr>
        <w:pStyle w:val="ListParagraph"/>
        <w:numPr>
          <w:ilvl w:val="0"/>
          <w:numId w:val="10"/>
        </w:numPr>
        <w:spacing w:line="360" w:lineRule="auto"/>
        <w:jc w:val="both"/>
        <w:rPr>
          <w:sz w:val="24"/>
          <w:szCs w:val="24"/>
        </w:rPr>
      </w:pPr>
      <w:r w:rsidRPr="0070464C">
        <w:rPr>
          <w:sz w:val="24"/>
          <w:szCs w:val="24"/>
        </w:rPr>
        <w:t>Overview</w:t>
      </w:r>
    </w:p>
    <w:p w14:paraId="77857644" w14:textId="5FF26D69" w:rsidR="00BB7BD9" w:rsidRDefault="00BB7BD9" w:rsidP="0070464C">
      <w:pPr>
        <w:pStyle w:val="ListParagraph"/>
        <w:numPr>
          <w:ilvl w:val="0"/>
          <w:numId w:val="10"/>
        </w:numPr>
        <w:spacing w:line="360" w:lineRule="auto"/>
        <w:jc w:val="both"/>
        <w:rPr>
          <w:sz w:val="24"/>
          <w:szCs w:val="24"/>
        </w:rPr>
      </w:pPr>
      <w:r>
        <w:rPr>
          <w:sz w:val="24"/>
          <w:szCs w:val="24"/>
        </w:rPr>
        <w:t>Look at three</w:t>
      </w:r>
      <w:r w:rsidR="00E72906" w:rsidRPr="0070464C">
        <w:rPr>
          <w:sz w:val="24"/>
          <w:szCs w:val="24"/>
        </w:rPr>
        <w:t xml:space="preserve"> procedural issues</w:t>
      </w:r>
      <w:r>
        <w:rPr>
          <w:sz w:val="24"/>
          <w:szCs w:val="24"/>
        </w:rPr>
        <w:t xml:space="preserve"> </w:t>
      </w:r>
      <w:r w:rsidR="00E72906" w:rsidRPr="0070464C">
        <w:rPr>
          <w:sz w:val="24"/>
          <w:szCs w:val="24"/>
        </w:rPr>
        <w:t>in pa</w:t>
      </w:r>
      <w:r w:rsidR="0070464C">
        <w:rPr>
          <w:sz w:val="24"/>
          <w:szCs w:val="24"/>
        </w:rPr>
        <w:t>rticular</w:t>
      </w:r>
      <w:r>
        <w:rPr>
          <w:sz w:val="24"/>
          <w:szCs w:val="24"/>
        </w:rPr>
        <w:t>:</w:t>
      </w:r>
    </w:p>
    <w:p w14:paraId="725C45FC" w14:textId="77777777" w:rsidR="00BB7BD9" w:rsidRDefault="0070464C" w:rsidP="00BB7BD9">
      <w:pPr>
        <w:pStyle w:val="ListParagraph"/>
        <w:numPr>
          <w:ilvl w:val="1"/>
          <w:numId w:val="10"/>
        </w:numPr>
        <w:spacing w:line="360" w:lineRule="auto"/>
        <w:jc w:val="both"/>
        <w:rPr>
          <w:sz w:val="24"/>
          <w:szCs w:val="24"/>
        </w:rPr>
      </w:pPr>
      <w:proofErr w:type="gramStart"/>
      <w:r>
        <w:rPr>
          <w:sz w:val="24"/>
          <w:szCs w:val="24"/>
        </w:rPr>
        <w:t>witness</w:t>
      </w:r>
      <w:proofErr w:type="gramEnd"/>
      <w:r>
        <w:rPr>
          <w:sz w:val="24"/>
          <w:szCs w:val="24"/>
        </w:rPr>
        <w:t xml:space="preserve"> statements</w:t>
      </w:r>
    </w:p>
    <w:p w14:paraId="54382E1E" w14:textId="57EDE479" w:rsidR="00BB7BD9" w:rsidRDefault="00BB7BD9" w:rsidP="00BB7BD9">
      <w:pPr>
        <w:pStyle w:val="ListParagraph"/>
        <w:numPr>
          <w:ilvl w:val="1"/>
          <w:numId w:val="10"/>
        </w:numPr>
        <w:spacing w:line="360" w:lineRule="auto"/>
        <w:jc w:val="both"/>
        <w:rPr>
          <w:sz w:val="24"/>
          <w:szCs w:val="24"/>
        </w:rPr>
      </w:pPr>
      <w:proofErr w:type="gramStart"/>
      <w:r>
        <w:rPr>
          <w:sz w:val="24"/>
          <w:szCs w:val="24"/>
        </w:rPr>
        <w:t>expert</w:t>
      </w:r>
      <w:proofErr w:type="gramEnd"/>
      <w:r>
        <w:rPr>
          <w:sz w:val="24"/>
          <w:szCs w:val="24"/>
        </w:rPr>
        <w:t xml:space="preserve"> witnesses, and</w:t>
      </w:r>
    </w:p>
    <w:p w14:paraId="682A1716" w14:textId="540184D0" w:rsidR="00E72906" w:rsidRDefault="0070464C" w:rsidP="00BB7BD9">
      <w:pPr>
        <w:pStyle w:val="ListParagraph"/>
        <w:numPr>
          <w:ilvl w:val="1"/>
          <w:numId w:val="10"/>
        </w:numPr>
        <w:spacing w:line="360" w:lineRule="auto"/>
        <w:jc w:val="both"/>
        <w:rPr>
          <w:sz w:val="24"/>
          <w:szCs w:val="24"/>
        </w:rPr>
      </w:pPr>
      <w:proofErr w:type="gramStart"/>
      <w:r>
        <w:rPr>
          <w:sz w:val="24"/>
          <w:szCs w:val="24"/>
        </w:rPr>
        <w:t>a</w:t>
      </w:r>
      <w:proofErr w:type="gramEnd"/>
      <w:r>
        <w:rPr>
          <w:sz w:val="24"/>
          <w:szCs w:val="24"/>
        </w:rPr>
        <w:t xml:space="preserve"> recent change in the rules </w:t>
      </w:r>
      <w:r w:rsidR="00CB4545">
        <w:rPr>
          <w:sz w:val="24"/>
          <w:szCs w:val="24"/>
        </w:rPr>
        <w:t xml:space="preserve">requiring </w:t>
      </w:r>
      <w:r w:rsidR="00BB7BD9">
        <w:rPr>
          <w:sz w:val="24"/>
          <w:szCs w:val="24"/>
        </w:rPr>
        <w:t xml:space="preserve">advance </w:t>
      </w:r>
      <w:r>
        <w:rPr>
          <w:sz w:val="24"/>
          <w:szCs w:val="24"/>
        </w:rPr>
        <w:t>sanction</w:t>
      </w:r>
      <w:r w:rsidR="00BB7BD9">
        <w:rPr>
          <w:sz w:val="24"/>
          <w:szCs w:val="24"/>
        </w:rPr>
        <w:t xml:space="preserve"> for the instruction of experts and, in the Sheriff Court, </w:t>
      </w:r>
      <w:r w:rsidR="00CB4545">
        <w:rPr>
          <w:sz w:val="24"/>
          <w:szCs w:val="24"/>
        </w:rPr>
        <w:t xml:space="preserve">for the instruction of </w:t>
      </w:r>
      <w:r w:rsidR="00BB7BD9">
        <w:rPr>
          <w:sz w:val="24"/>
          <w:szCs w:val="24"/>
        </w:rPr>
        <w:t>Counsel</w:t>
      </w:r>
    </w:p>
    <w:p w14:paraId="0BC6C994" w14:textId="0E5F7091" w:rsidR="00935E51" w:rsidRDefault="006B4CCE" w:rsidP="0070464C">
      <w:pPr>
        <w:pStyle w:val="ListParagraph"/>
        <w:numPr>
          <w:ilvl w:val="0"/>
          <w:numId w:val="10"/>
        </w:numPr>
        <w:spacing w:line="360" w:lineRule="auto"/>
        <w:jc w:val="both"/>
        <w:rPr>
          <w:sz w:val="24"/>
          <w:szCs w:val="24"/>
        </w:rPr>
      </w:pPr>
      <w:r>
        <w:rPr>
          <w:sz w:val="24"/>
          <w:szCs w:val="24"/>
        </w:rPr>
        <w:t>(</w:t>
      </w:r>
      <w:r w:rsidR="00935E51">
        <w:rPr>
          <w:sz w:val="24"/>
          <w:szCs w:val="24"/>
        </w:rPr>
        <w:t>If time, will look at some other, miscellaneous, issues</w:t>
      </w:r>
      <w:r>
        <w:rPr>
          <w:sz w:val="24"/>
          <w:szCs w:val="24"/>
        </w:rPr>
        <w:t>)</w:t>
      </w:r>
    </w:p>
    <w:p w14:paraId="7A4F072E" w14:textId="4A241AF9" w:rsidR="00F15278" w:rsidRPr="0070464C" w:rsidRDefault="00E72906" w:rsidP="0070464C">
      <w:pPr>
        <w:pStyle w:val="ListParagraph"/>
        <w:numPr>
          <w:ilvl w:val="0"/>
          <w:numId w:val="10"/>
        </w:numPr>
        <w:spacing w:line="360" w:lineRule="auto"/>
        <w:jc w:val="both"/>
        <w:rPr>
          <w:sz w:val="24"/>
          <w:szCs w:val="24"/>
        </w:rPr>
      </w:pPr>
      <w:r w:rsidRPr="0070464C">
        <w:rPr>
          <w:sz w:val="24"/>
          <w:szCs w:val="24"/>
        </w:rPr>
        <w:t xml:space="preserve">Conclude by </w:t>
      </w:r>
      <w:r w:rsidR="00F15278" w:rsidRPr="0070464C">
        <w:rPr>
          <w:sz w:val="24"/>
          <w:szCs w:val="24"/>
        </w:rPr>
        <w:t>suggesting</w:t>
      </w:r>
      <w:r w:rsidR="00560D6F" w:rsidRPr="0070464C">
        <w:rPr>
          <w:sz w:val="24"/>
          <w:szCs w:val="24"/>
        </w:rPr>
        <w:t xml:space="preserve"> </w:t>
      </w:r>
      <w:r w:rsidR="00BB7BD9">
        <w:rPr>
          <w:sz w:val="24"/>
          <w:szCs w:val="24"/>
        </w:rPr>
        <w:t xml:space="preserve">ways in which we can </w:t>
      </w:r>
      <w:r w:rsidR="00D74220" w:rsidRPr="0070464C">
        <w:rPr>
          <w:sz w:val="24"/>
          <w:szCs w:val="24"/>
        </w:rPr>
        <w:t xml:space="preserve">feed our </w:t>
      </w:r>
      <w:r w:rsidR="00F15278" w:rsidRPr="0070464C">
        <w:rPr>
          <w:sz w:val="24"/>
          <w:szCs w:val="24"/>
        </w:rPr>
        <w:t>experiences</w:t>
      </w:r>
      <w:r w:rsidR="00BB7BD9">
        <w:rPr>
          <w:sz w:val="24"/>
          <w:szCs w:val="24"/>
        </w:rPr>
        <w:t>,</w:t>
      </w:r>
      <w:r w:rsidR="00F15278" w:rsidRPr="0070464C">
        <w:rPr>
          <w:sz w:val="24"/>
          <w:szCs w:val="24"/>
        </w:rPr>
        <w:t xml:space="preserve"> </w:t>
      </w:r>
      <w:r w:rsidR="00BB7BD9">
        <w:rPr>
          <w:sz w:val="24"/>
          <w:szCs w:val="24"/>
        </w:rPr>
        <w:t>and areas where we think there is room for improvement, back into the</w:t>
      </w:r>
      <w:r w:rsidR="00D74220" w:rsidRPr="0070464C">
        <w:rPr>
          <w:sz w:val="24"/>
          <w:szCs w:val="24"/>
        </w:rPr>
        <w:t xml:space="preserve"> </w:t>
      </w:r>
      <w:r w:rsidR="00F15278" w:rsidRPr="0070464C">
        <w:rPr>
          <w:sz w:val="24"/>
          <w:szCs w:val="24"/>
        </w:rPr>
        <w:t>decision making</w:t>
      </w:r>
      <w:r w:rsidR="00BB7BD9">
        <w:rPr>
          <w:sz w:val="24"/>
          <w:szCs w:val="24"/>
        </w:rPr>
        <w:t xml:space="preserve"> process.</w:t>
      </w:r>
    </w:p>
    <w:p w14:paraId="7D949D0F" w14:textId="495A38B1" w:rsidR="00054684" w:rsidRPr="00054684" w:rsidRDefault="00054684" w:rsidP="00054684">
      <w:pPr>
        <w:pStyle w:val="ListParagraph"/>
        <w:spacing w:line="360" w:lineRule="auto"/>
        <w:jc w:val="both"/>
        <w:rPr>
          <w:b/>
          <w:sz w:val="24"/>
          <w:szCs w:val="24"/>
          <w:u w:val="single"/>
        </w:rPr>
      </w:pPr>
      <w:r w:rsidRPr="00054684">
        <w:rPr>
          <w:b/>
          <w:sz w:val="24"/>
          <w:szCs w:val="24"/>
          <w:u w:val="single"/>
        </w:rPr>
        <w:t>Overview</w:t>
      </w:r>
    </w:p>
    <w:p w14:paraId="019C3C31" w14:textId="61BDCAB0" w:rsidR="00E72906" w:rsidRDefault="00E72906" w:rsidP="00EC7F23">
      <w:pPr>
        <w:pStyle w:val="ListParagraph"/>
        <w:numPr>
          <w:ilvl w:val="0"/>
          <w:numId w:val="1"/>
        </w:numPr>
        <w:spacing w:line="360" w:lineRule="auto"/>
        <w:jc w:val="both"/>
        <w:rPr>
          <w:sz w:val="24"/>
          <w:szCs w:val="24"/>
        </w:rPr>
      </w:pPr>
      <w:r>
        <w:rPr>
          <w:sz w:val="24"/>
          <w:szCs w:val="24"/>
        </w:rPr>
        <w:t>Overview</w:t>
      </w:r>
    </w:p>
    <w:p w14:paraId="514A3803" w14:textId="608314BB" w:rsidR="00EF61C0" w:rsidRDefault="00F73C06" w:rsidP="00EC7F23">
      <w:pPr>
        <w:pStyle w:val="ListParagraph"/>
        <w:numPr>
          <w:ilvl w:val="0"/>
          <w:numId w:val="6"/>
        </w:numPr>
        <w:spacing w:line="360" w:lineRule="auto"/>
        <w:jc w:val="both"/>
        <w:rPr>
          <w:sz w:val="24"/>
          <w:szCs w:val="24"/>
        </w:rPr>
      </w:pPr>
      <w:r>
        <w:rPr>
          <w:sz w:val="24"/>
          <w:szCs w:val="24"/>
        </w:rPr>
        <w:t>Case management of more complex</w:t>
      </w:r>
      <w:r w:rsidR="00EF61C0">
        <w:rPr>
          <w:sz w:val="24"/>
          <w:szCs w:val="24"/>
        </w:rPr>
        <w:t xml:space="preserve"> PI actions</w:t>
      </w:r>
      <w:r w:rsidR="00D42D16">
        <w:rPr>
          <w:sz w:val="24"/>
          <w:szCs w:val="24"/>
        </w:rPr>
        <w:t>:</w:t>
      </w:r>
    </w:p>
    <w:p w14:paraId="480D1DCD" w14:textId="7A6A6261" w:rsidR="00316B53" w:rsidRPr="00BB7BD9" w:rsidRDefault="00316B53" w:rsidP="00BB7BD9">
      <w:pPr>
        <w:pStyle w:val="ListParagraph"/>
        <w:numPr>
          <w:ilvl w:val="1"/>
          <w:numId w:val="6"/>
        </w:numPr>
        <w:spacing w:line="360" w:lineRule="auto"/>
        <w:jc w:val="both"/>
        <w:rPr>
          <w:sz w:val="24"/>
          <w:szCs w:val="24"/>
        </w:rPr>
      </w:pPr>
      <w:r>
        <w:rPr>
          <w:sz w:val="24"/>
          <w:szCs w:val="24"/>
        </w:rPr>
        <w:t xml:space="preserve">RCS </w:t>
      </w:r>
      <w:r w:rsidR="000431C4">
        <w:rPr>
          <w:sz w:val="24"/>
          <w:szCs w:val="24"/>
        </w:rPr>
        <w:t>42</w:t>
      </w:r>
      <w:r w:rsidR="00D275C8">
        <w:rPr>
          <w:sz w:val="24"/>
          <w:szCs w:val="24"/>
        </w:rPr>
        <w:t xml:space="preserve">A </w:t>
      </w:r>
      <w:r w:rsidR="00BB7BD9">
        <w:rPr>
          <w:sz w:val="24"/>
          <w:szCs w:val="24"/>
        </w:rPr>
        <w:t xml:space="preserve">&amp; </w:t>
      </w:r>
      <w:r w:rsidRPr="00BB7BD9">
        <w:rPr>
          <w:sz w:val="24"/>
          <w:szCs w:val="24"/>
        </w:rPr>
        <w:t>Practice Note</w:t>
      </w:r>
      <w:r w:rsidR="00766080" w:rsidRPr="00BB7BD9">
        <w:rPr>
          <w:sz w:val="24"/>
          <w:szCs w:val="24"/>
        </w:rPr>
        <w:t xml:space="preserve"> No 6 of 2017</w:t>
      </w:r>
    </w:p>
    <w:p w14:paraId="17C3F69B" w14:textId="17312232" w:rsidR="00833B35" w:rsidRDefault="00833B35" w:rsidP="00EC7F23">
      <w:pPr>
        <w:pStyle w:val="ListParagraph"/>
        <w:numPr>
          <w:ilvl w:val="1"/>
          <w:numId w:val="6"/>
        </w:numPr>
        <w:spacing w:line="360" w:lineRule="auto"/>
        <w:jc w:val="both"/>
        <w:rPr>
          <w:sz w:val="24"/>
          <w:szCs w:val="24"/>
        </w:rPr>
      </w:pPr>
      <w:r>
        <w:rPr>
          <w:sz w:val="24"/>
          <w:szCs w:val="24"/>
        </w:rPr>
        <w:t>Sheriff Court – chapter 36A of the Ordinary Cause Rules</w:t>
      </w:r>
    </w:p>
    <w:p w14:paraId="11972857" w14:textId="452BE424" w:rsidR="00D5138F" w:rsidRDefault="00D5138F" w:rsidP="00EC7F23">
      <w:pPr>
        <w:pStyle w:val="ListParagraph"/>
        <w:numPr>
          <w:ilvl w:val="1"/>
          <w:numId w:val="6"/>
        </w:numPr>
        <w:spacing w:line="360" w:lineRule="auto"/>
        <w:jc w:val="both"/>
        <w:rPr>
          <w:sz w:val="24"/>
          <w:szCs w:val="24"/>
        </w:rPr>
      </w:pPr>
      <w:r>
        <w:rPr>
          <w:sz w:val="24"/>
          <w:szCs w:val="24"/>
        </w:rPr>
        <w:t xml:space="preserve">[NB </w:t>
      </w:r>
      <w:proofErr w:type="spellStart"/>
      <w:r>
        <w:rPr>
          <w:sz w:val="24"/>
          <w:szCs w:val="24"/>
        </w:rPr>
        <w:t>Sheriffdom</w:t>
      </w:r>
      <w:proofErr w:type="spellEnd"/>
      <w:r>
        <w:rPr>
          <w:sz w:val="24"/>
          <w:szCs w:val="24"/>
        </w:rPr>
        <w:t xml:space="preserve"> of Lothian and Borders, PN 3/2016, Personal Injury Actions – covers chapter 36 of OCR. Is there a </w:t>
      </w:r>
      <w:r w:rsidR="00225995">
        <w:rPr>
          <w:sz w:val="24"/>
          <w:szCs w:val="24"/>
        </w:rPr>
        <w:t xml:space="preserve">comprehensive </w:t>
      </w:r>
      <w:r>
        <w:rPr>
          <w:sz w:val="24"/>
          <w:szCs w:val="24"/>
        </w:rPr>
        <w:t xml:space="preserve">Practice Note </w:t>
      </w:r>
      <w:r w:rsidR="00225995">
        <w:rPr>
          <w:sz w:val="24"/>
          <w:szCs w:val="24"/>
        </w:rPr>
        <w:t>for chapter 36A actions in</w:t>
      </w:r>
      <w:r>
        <w:rPr>
          <w:sz w:val="24"/>
          <w:szCs w:val="24"/>
        </w:rPr>
        <w:t xml:space="preserve"> ASPIC? If not, should there be?]</w:t>
      </w:r>
    </w:p>
    <w:p w14:paraId="68023193" w14:textId="1550BF83" w:rsidR="00A226C1" w:rsidRPr="007B5608" w:rsidRDefault="00FD0681" w:rsidP="007B5608">
      <w:pPr>
        <w:pStyle w:val="ListParagraph"/>
        <w:numPr>
          <w:ilvl w:val="0"/>
          <w:numId w:val="6"/>
        </w:numPr>
        <w:spacing w:line="360" w:lineRule="auto"/>
        <w:jc w:val="both"/>
        <w:rPr>
          <w:sz w:val="24"/>
          <w:szCs w:val="24"/>
        </w:rPr>
      </w:pPr>
      <w:r w:rsidRPr="00BB7BD9">
        <w:rPr>
          <w:b/>
          <w:sz w:val="24"/>
          <w:szCs w:val="24"/>
        </w:rPr>
        <w:t>Aim</w:t>
      </w:r>
      <w:r>
        <w:rPr>
          <w:sz w:val="24"/>
          <w:szCs w:val="24"/>
        </w:rPr>
        <w:t xml:space="preserve"> – to </w:t>
      </w:r>
      <w:r w:rsidR="00D42D16">
        <w:rPr>
          <w:sz w:val="24"/>
          <w:szCs w:val="24"/>
        </w:rPr>
        <w:t>secure the effici</w:t>
      </w:r>
      <w:r w:rsidR="00BB7BD9">
        <w:rPr>
          <w:sz w:val="24"/>
          <w:szCs w:val="24"/>
        </w:rPr>
        <w:t>ent determination of the action</w:t>
      </w:r>
      <w:r>
        <w:rPr>
          <w:sz w:val="24"/>
          <w:szCs w:val="24"/>
        </w:rPr>
        <w:t xml:space="preserve"> </w:t>
      </w:r>
      <w:r w:rsidR="007B5608" w:rsidRPr="007B5608">
        <w:rPr>
          <w:sz w:val="24"/>
          <w:szCs w:val="24"/>
        </w:rPr>
        <w:t>(</w:t>
      </w:r>
      <w:r w:rsidRPr="007B5608">
        <w:rPr>
          <w:sz w:val="24"/>
          <w:szCs w:val="24"/>
        </w:rPr>
        <w:t>implied</w:t>
      </w:r>
      <w:r w:rsidR="00685FE3">
        <w:rPr>
          <w:sz w:val="24"/>
          <w:szCs w:val="24"/>
        </w:rPr>
        <w:t>ly</w:t>
      </w:r>
      <w:r w:rsidRPr="007B5608">
        <w:rPr>
          <w:sz w:val="24"/>
          <w:szCs w:val="24"/>
        </w:rPr>
        <w:t>, in a way that does justice between the parties)</w:t>
      </w:r>
    </w:p>
    <w:p w14:paraId="616B6111" w14:textId="77777777" w:rsidR="00685FE3" w:rsidRDefault="00685FE3" w:rsidP="00EC7F23">
      <w:pPr>
        <w:pStyle w:val="ListParagraph"/>
        <w:numPr>
          <w:ilvl w:val="0"/>
          <w:numId w:val="6"/>
        </w:numPr>
        <w:spacing w:line="360" w:lineRule="auto"/>
        <w:jc w:val="both"/>
        <w:rPr>
          <w:sz w:val="24"/>
          <w:szCs w:val="24"/>
        </w:rPr>
      </w:pPr>
      <w:r>
        <w:rPr>
          <w:sz w:val="24"/>
          <w:szCs w:val="24"/>
        </w:rPr>
        <w:lastRenderedPageBreak/>
        <w:t>For that aim to be achieved requires:</w:t>
      </w:r>
    </w:p>
    <w:p w14:paraId="20F0E77C" w14:textId="17F0A75D" w:rsidR="00C57BA1" w:rsidRDefault="00FD0681" w:rsidP="00EC7F23">
      <w:pPr>
        <w:pStyle w:val="ListParagraph"/>
        <w:numPr>
          <w:ilvl w:val="1"/>
          <w:numId w:val="6"/>
        </w:numPr>
        <w:spacing w:line="360" w:lineRule="auto"/>
        <w:jc w:val="both"/>
        <w:rPr>
          <w:sz w:val="24"/>
          <w:szCs w:val="24"/>
        </w:rPr>
      </w:pPr>
      <w:r>
        <w:rPr>
          <w:sz w:val="24"/>
          <w:szCs w:val="24"/>
        </w:rPr>
        <w:t>P</w:t>
      </w:r>
      <w:r w:rsidR="00BB7BD9">
        <w:rPr>
          <w:sz w:val="24"/>
          <w:szCs w:val="24"/>
        </w:rPr>
        <w:t xml:space="preserve">roactive preparation </w:t>
      </w:r>
      <w:r w:rsidR="00905197">
        <w:rPr>
          <w:sz w:val="24"/>
          <w:szCs w:val="24"/>
        </w:rPr>
        <w:t>throughout (</w:t>
      </w:r>
      <w:r w:rsidR="00BB7BD9">
        <w:rPr>
          <w:sz w:val="24"/>
          <w:szCs w:val="24"/>
        </w:rPr>
        <w:t xml:space="preserve">i.e. </w:t>
      </w:r>
      <w:r w:rsidR="00905197">
        <w:rPr>
          <w:sz w:val="24"/>
          <w:szCs w:val="24"/>
        </w:rPr>
        <w:t xml:space="preserve">“frontloading” of actions) </w:t>
      </w:r>
    </w:p>
    <w:p w14:paraId="047A0146" w14:textId="1FBF3F0C" w:rsidR="002C5CFA" w:rsidRDefault="002C5CFA" w:rsidP="00EC7F23">
      <w:pPr>
        <w:pStyle w:val="ListParagraph"/>
        <w:numPr>
          <w:ilvl w:val="1"/>
          <w:numId w:val="6"/>
        </w:numPr>
        <w:spacing w:line="360" w:lineRule="auto"/>
        <w:jc w:val="both"/>
        <w:rPr>
          <w:sz w:val="24"/>
          <w:szCs w:val="24"/>
        </w:rPr>
      </w:pPr>
      <w:r>
        <w:rPr>
          <w:sz w:val="24"/>
          <w:szCs w:val="24"/>
        </w:rPr>
        <w:t>Early disclosure</w:t>
      </w:r>
      <w:r w:rsidR="00F73C06">
        <w:rPr>
          <w:sz w:val="24"/>
          <w:szCs w:val="24"/>
        </w:rPr>
        <w:t xml:space="preserve"> of evidence</w:t>
      </w:r>
    </w:p>
    <w:p w14:paraId="3168F628" w14:textId="5DF85D61" w:rsidR="007513CA" w:rsidRDefault="00BB7BD9" w:rsidP="00EC7F23">
      <w:pPr>
        <w:pStyle w:val="ListParagraph"/>
        <w:numPr>
          <w:ilvl w:val="1"/>
          <w:numId w:val="6"/>
        </w:numPr>
        <w:spacing w:line="360" w:lineRule="auto"/>
        <w:jc w:val="both"/>
        <w:rPr>
          <w:sz w:val="24"/>
          <w:szCs w:val="24"/>
        </w:rPr>
      </w:pPr>
      <w:r>
        <w:rPr>
          <w:sz w:val="24"/>
          <w:szCs w:val="24"/>
        </w:rPr>
        <w:t>Most importantly, a</w:t>
      </w:r>
      <w:r w:rsidR="00635063">
        <w:rPr>
          <w:sz w:val="24"/>
          <w:szCs w:val="24"/>
        </w:rPr>
        <w:t xml:space="preserve"> focus </w:t>
      </w:r>
      <w:r>
        <w:rPr>
          <w:sz w:val="24"/>
          <w:szCs w:val="24"/>
        </w:rPr>
        <w:t xml:space="preserve">at all stages </w:t>
      </w:r>
      <w:r w:rsidR="00635063">
        <w:rPr>
          <w:sz w:val="24"/>
          <w:szCs w:val="24"/>
        </w:rPr>
        <w:t xml:space="preserve">on </w:t>
      </w:r>
      <w:r w:rsidR="00FD0681">
        <w:rPr>
          <w:sz w:val="24"/>
          <w:szCs w:val="24"/>
        </w:rPr>
        <w:t xml:space="preserve">agreeing what </w:t>
      </w:r>
      <w:r w:rsidR="00884156" w:rsidRPr="00C57BA1">
        <w:rPr>
          <w:sz w:val="24"/>
          <w:szCs w:val="24"/>
        </w:rPr>
        <w:t xml:space="preserve">can be agreed </w:t>
      </w:r>
      <w:r>
        <w:rPr>
          <w:sz w:val="24"/>
          <w:szCs w:val="24"/>
        </w:rPr>
        <w:t xml:space="preserve">and narrowing the issues in dispute (i.e. the aim is to have </w:t>
      </w:r>
      <w:r w:rsidR="00685FE3">
        <w:rPr>
          <w:sz w:val="24"/>
          <w:szCs w:val="24"/>
        </w:rPr>
        <w:t>short, focussed, proofs</w:t>
      </w:r>
      <w:r>
        <w:rPr>
          <w:sz w:val="24"/>
          <w:szCs w:val="24"/>
        </w:rPr>
        <w:t xml:space="preserve"> – in everyone’s interest</w:t>
      </w:r>
      <w:r w:rsidR="00685FE3">
        <w:rPr>
          <w:sz w:val="24"/>
          <w:szCs w:val="24"/>
        </w:rPr>
        <w:t>)</w:t>
      </w:r>
    </w:p>
    <w:p w14:paraId="1D957180" w14:textId="5E4D0DC9" w:rsidR="005A04DD" w:rsidRDefault="005A04DD" w:rsidP="00EC7F23">
      <w:pPr>
        <w:pStyle w:val="ListParagraph"/>
        <w:numPr>
          <w:ilvl w:val="1"/>
          <w:numId w:val="6"/>
        </w:numPr>
        <w:spacing w:line="360" w:lineRule="auto"/>
        <w:jc w:val="both"/>
        <w:rPr>
          <w:sz w:val="24"/>
          <w:szCs w:val="24"/>
        </w:rPr>
      </w:pPr>
      <w:r>
        <w:rPr>
          <w:sz w:val="24"/>
          <w:szCs w:val="24"/>
        </w:rPr>
        <w:t xml:space="preserve">A </w:t>
      </w:r>
      <w:r w:rsidR="00383D06">
        <w:rPr>
          <w:sz w:val="24"/>
          <w:szCs w:val="24"/>
        </w:rPr>
        <w:t xml:space="preserve">measure of </w:t>
      </w:r>
      <w:r w:rsidR="00856D9F">
        <w:rPr>
          <w:sz w:val="24"/>
          <w:szCs w:val="24"/>
        </w:rPr>
        <w:t xml:space="preserve">pragmatism, </w:t>
      </w:r>
      <w:r w:rsidR="00685FE3">
        <w:rPr>
          <w:sz w:val="24"/>
          <w:szCs w:val="24"/>
        </w:rPr>
        <w:t xml:space="preserve">cooperation and </w:t>
      </w:r>
      <w:r w:rsidR="00856D9F">
        <w:rPr>
          <w:sz w:val="24"/>
          <w:szCs w:val="24"/>
        </w:rPr>
        <w:t>good</w:t>
      </w:r>
      <w:r>
        <w:rPr>
          <w:sz w:val="24"/>
          <w:szCs w:val="24"/>
        </w:rPr>
        <w:t>wil</w:t>
      </w:r>
      <w:r w:rsidR="00856D9F">
        <w:rPr>
          <w:sz w:val="24"/>
          <w:szCs w:val="24"/>
        </w:rPr>
        <w:t>l on all sides</w:t>
      </w:r>
      <w:r w:rsidR="00BE143D">
        <w:rPr>
          <w:sz w:val="24"/>
          <w:szCs w:val="24"/>
        </w:rPr>
        <w:t xml:space="preserve"> (</w:t>
      </w:r>
      <w:r w:rsidR="00685FE3">
        <w:rPr>
          <w:sz w:val="24"/>
          <w:szCs w:val="24"/>
        </w:rPr>
        <w:t xml:space="preserve">including </w:t>
      </w:r>
      <w:r w:rsidR="00BE143D">
        <w:rPr>
          <w:sz w:val="24"/>
          <w:szCs w:val="24"/>
        </w:rPr>
        <w:t>the court)</w:t>
      </w:r>
    </w:p>
    <w:p w14:paraId="2BF9DF47" w14:textId="2BF77578" w:rsidR="00054684" w:rsidRPr="00054684" w:rsidRDefault="00054684" w:rsidP="00054684">
      <w:pPr>
        <w:pStyle w:val="ListParagraph"/>
        <w:spacing w:line="360" w:lineRule="auto"/>
        <w:jc w:val="both"/>
        <w:rPr>
          <w:b/>
          <w:sz w:val="24"/>
          <w:szCs w:val="24"/>
          <w:u w:val="single"/>
        </w:rPr>
      </w:pPr>
      <w:r w:rsidRPr="00054684">
        <w:rPr>
          <w:b/>
          <w:sz w:val="24"/>
          <w:szCs w:val="24"/>
          <w:u w:val="single"/>
        </w:rPr>
        <w:t>Witness statements</w:t>
      </w:r>
    </w:p>
    <w:p w14:paraId="6D2BD67A" w14:textId="77777777" w:rsidR="00DB3BA5" w:rsidRDefault="00DB3BA5" w:rsidP="00EC7F23">
      <w:pPr>
        <w:pStyle w:val="ListParagraph"/>
        <w:numPr>
          <w:ilvl w:val="0"/>
          <w:numId w:val="1"/>
        </w:numPr>
        <w:spacing w:line="360" w:lineRule="auto"/>
        <w:jc w:val="both"/>
        <w:rPr>
          <w:sz w:val="24"/>
          <w:szCs w:val="24"/>
        </w:rPr>
      </w:pPr>
      <w:r>
        <w:rPr>
          <w:sz w:val="24"/>
          <w:szCs w:val="24"/>
        </w:rPr>
        <w:t>Witness statements</w:t>
      </w:r>
    </w:p>
    <w:p w14:paraId="7CB7E2E6" w14:textId="590E3DCB" w:rsidR="00EF61C0" w:rsidRDefault="00EF61C0" w:rsidP="00F73F44">
      <w:pPr>
        <w:pStyle w:val="ListParagraph"/>
        <w:numPr>
          <w:ilvl w:val="0"/>
          <w:numId w:val="9"/>
        </w:numPr>
        <w:spacing w:line="360" w:lineRule="auto"/>
        <w:jc w:val="both"/>
        <w:rPr>
          <w:sz w:val="24"/>
          <w:szCs w:val="24"/>
        </w:rPr>
      </w:pPr>
      <w:r w:rsidRPr="00F73F44">
        <w:rPr>
          <w:sz w:val="24"/>
          <w:szCs w:val="24"/>
        </w:rPr>
        <w:t>Trea</w:t>
      </w:r>
      <w:r w:rsidR="007B5608" w:rsidRPr="00F73F44">
        <w:rPr>
          <w:sz w:val="24"/>
          <w:szCs w:val="24"/>
        </w:rPr>
        <w:t>ting clinicians</w:t>
      </w:r>
    </w:p>
    <w:p w14:paraId="4CE22DEB" w14:textId="71ED9ECD" w:rsidR="00EF61C0" w:rsidRDefault="008F4B36" w:rsidP="00F73F44">
      <w:pPr>
        <w:pStyle w:val="ListParagraph"/>
        <w:numPr>
          <w:ilvl w:val="1"/>
          <w:numId w:val="9"/>
        </w:numPr>
        <w:spacing w:line="360" w:lineRule="auto"/>
        <w:jc w:val="both"/>
        <w:rPr>
          <w:sz w:val="24"/>
          <w:szCs w:val="24"/>
        </w:rPr>
      </w:pPr>
      <w:r>
        <w:rPr>
          <w:sz w:val="24"/>
          <w:szCs w:val="24"/>
        </w:rPr>
        <w:t>E</w:t>
      </w:r>
      <w:r w:rsidR="00EF61C0" w:rsidRPr="00F73F44">
        <w:rPr>
          <w:sz w:val="24"/>
          <w:szCs w:val="24"/>
        </w:rPr>
        <w:t>xperts require an accurate and complete understanding of the facts on which to base their opinions</w:t>
      </w:r>
    </w:p>
    <w:p w14:paraId="12658957" w14:textId="39CCF4F1" w:rsidR="007B5608" w:rsidRDefault="00EF61C0" w:rsidP="00F73F44">
      <w:pPr>
        <w:pStyle w:val="ListParagraph"/>
        <w:numPr>
          <w:ilvl w:val="1"/>
          <w:numId w:val="9"/>
        </w:numPr>
        <w:spacing w:line="360" w:lineRule="auto"/>
        <w:jc w:val="both"/>
        <w:rPr>
          <w:sz w:val="24"/>
          <w:szCs w:val="24"/>
        </w:rPr>
      </w:pPr>
      <w:r w:rsidRPr="00F73F44">
        <w:rPr>
          <w:sz w:val="24"/>
          <w:szCs w:val="24"/>
        </w:rPr>
        <w:t xml:space="preserve">The courts recognise that the entries in the medical records may not </w:t>
      </w:r>
      <w:r w:rsidR="007B5608" w:rsidRPr="00F73F44">
        <w:rPr>
          <w:sz w:val="24"/>
          <w:szCs w:val="24"/>
        </w:rPr>
        <w:t>be a complete record of events (</w:t>
      </w:r>
      <w:r w:rsidR="007B5608" w:rsidRPr="00F73F44">
        <w:rPr>
          <w:i/>
          <w:sz w:val="24"/>
          <w:szCs w:val="24"/>
        </w:rPr>
        <w:t>McConnell v Ayrshire and Arran Health Board</w:t>
      </w:r>
      <w:r w:rsidR="007B5608" w:rsidRPr="00F73F44">
        <w:rPr>
          <w:sz w:val="24"/>
          <w:szCs w:val="24"/>
        </w:rPr>
        <w:t xml:space="preserve">, 2001 Rep LR 85; Lord Reed, </w:t>
      </w:r>
      <w:proofErr w:type="spellStart"/>
      <w:r w:rsidR="007B5608" w:rsidRPr="00F73F44">
        <w:rPr>
          <w:sz w:val="24"/>
          <w:szCs w:val="24"/>
        </w:rPr>
        <w:t>paras</w:t>
      </w:r>
      <w:proofErr w:type="spellEnd"/>
      <w:r w:rsidR="007B5608" w:rsidRPr="00F73F44">
        <w:rPr>
          <w:sz w:val="24"/>
          <w:szCs w:val="24"/>
        </w:rPr>
        <w:t xml:space="preserve"> [25] to [28])</w:t>
      </w:r>
    </w:p>
    <w:p w14:paraId="65AB41E9" w14:textId="6EAC647D" w:rsidR="007B5608" w:rsidRDefault="008F4B36" w:rsidP="00F73F44">
      <w:pPr>
        <w:pStyle w:val="ListParagraph"/>
        <w:numPr>
          <w:ilvl w:val="1"/>
          <w:numId w:val="9"/>
        </w:numPr>
        <w:spacing w:line="360" w:lineRule="auto"/>
        <w:jc w:val="both"/>
        <w:rPr>
          <w:sz w:val="24"/>
          <w:szCs w:val="24"/>
        </w:rPr>
      </w:pPr>
      <w:r>
        <w:rPr>
          <w:sz w:val="24"/>
          <w:szCs w:val="24"/>
        </w:rPr>
        <w:t xml:space="preserve">In clinical negligence actions, a factual statement is, therefore, desirable </w:t>
      </w:r>
      <w:r w:rsidR="007B5608" w:rsidRPr="00F73F44">
        <w:rPr>
          <w:sz w:val="24"/>
          <w:szCs w:val="24"/>
        </w:rPr>
        <w:t>from the treating clinicians</w:t>
      </w:r>
    </w:p>
    <w:p w14:paraId="6A7BDAF3" w14:textId="4B44BB9A" w:rsidR="00EC625E" w:rsidRDefault="00F73F44" w:rsidP="00F73F44">
      <w:pPr>
        <w:pStyle w:val="ListParagraph"/>
        <w:numPr>
          <w:ilvl w:val="0"/>
          <w:numId w:val="9"/>
        </w:numPr>
        <w:spacing w:line="360" w:lineRule="auto"/>
        <w:jc w:val="both"/>
        <w:rPr>
          <w:sz w:val="24"/>
          <w:szCs w:val="24"/>
        </w:rPr>
      </w:pPr>
      <w:r>
        <w:rPr>
          <w:sz w:val="24"/>
          <w:szCs w:val="24"/>
        </w:rPr>
        <w:t>F</w:t>
      </w:r>
      <w:r w:rsidR="009547F3" w:rsidRPr="00F73F44">
        <w:rPr>
          <w:sz w:val="24"/>
          <w:szCs w:val="24"/>
        </w:rPr>
        <w:t>orm of statement</w:t>
      </w:r>
      <w:r w:rsidR="00EC625E" w:rsidRPr="00F73F44">
        <w:rPr>
          <w:sz w:val="24"/>
          <w:szCs w:val="24"/>
        </w:rPr>
        <w:t>?</w:t>
      </w:r>
    </w:p>
    <w:p w14:paraId="73E5A4BD" w14:textId="3DE1B79B" w:rsidR="00884156" w:rsidRDefault="00F73F44" w:rsidP="00F73F44">
      <w:pPr>
        <w:pStyle w:val="ListParagraph"/>
        <w:numPr>
          <w:ilvl w:val="1"/>
          <w:numId w:val="9"/>
        </w:numPr>
        <w:spacing w:line="360" w:lineRule="auto"/>
        <w:jc w:val="both"/>
        <w:rPr>
          <w:sz w:val="24"/>
          <w:szCs w:val="24"/>
        </w:rPr>
      </w:pPr>
      <w:r>
        <w:rPr>
          <w:sz w:val="24"/>
          <w:szCs w:val="24"/>
        </w:rPr>
        <w:t>F</w:t>
      </w:r>
      <w:r w:rsidR="007B5608" w:rsidRPr="00F73F44">
        <w:rPr>
          <w:sz w:val="24"/>
          <w:szCs w:val="24"/>
        </w:rPr>
        <w:t>actual report, s</w:t>
      </w:r>
      <w:r w:rsidR="00DB3BA5" w:rsidRPr="00F73F44">
        <w:rPr>
          <w:sz w:val="24"/>
          <w:szCs w:val="24"/>
        </w:rPr>
        <w:t>tatement, precognition or written Q&amp;A?</w:t>
      </w:r>
    </w:p>
    <w:p w14:paraId="3A4C6224" w14:textId="26E10356" w:rsidR="007B5608" w:rsidRDefault="007B5608" w:rsidP="00F73F44">
      <w:pPr>
        <w:pStyle w:val="ListParagraph"/>
        <w:numPr>
          <w:ilvl w:val="1"/>
          <w:numId w:val="9"/>
        </w:numPr>
        <w:spacing w:line="360" w:lineRule="auto"/>
        <w:jc w:val="both"/>
        <w:rPr>
          <w:sz w:val="24"/>
          <w:szCs w:val="24"/>
        </w:rPr>
      </w:pPr>
      <w:r w:rsidRPr="00F73F44">
        <w:rPr>
          <w:sz w:val="24"/>
          <w:szCs w:val="24"/>
        </w:rPr>
        <w:t>The practice has varied over the years</w:t>
      </w:r>
      <w:r w:rsidR="00EC625E" w:rsidRPr="00F73F44">
        <w:rPr>
          <w:sz w:val="24"/>
          <w:szCs w:val="24"/>
        </w:rPr>
        <w:t>; n</w:t>
      </w:r>
      <w:r w:rsidRPr="00F73F44">
        <w:rPr>
          <w:sz w:val="24"/>
          <w:szCs w:val="24"/>
        </w:rPr>
        <w:t>ot sure if there is currently a settled</w:t>
      </w:r>
      <w:r w:rsidR="008F4B36">
        <w:rPr>
          <w:sz w:val="24"/>
          <w:szCs w:val="24"/>
        </w:rPr>
        <w:t xml:space="preserve"> or uniform </w:t>
      </w:r>
      <w:r w:rsidRPr="00F73F44">
        <w:rPr>
          <w:sz w:val="24"/>
          <w:szCs w:val="24"/>
        </w:rPr>
        <w:t>practice</w:t>
      </w:r>
    </w:p>
    <w:p w14:paraId="3C9A02C5" w14:textId="6D306044" w:rsidR="007B5608" w:rsidRDefault="00EC625E" w:rsidP="00F73F44">
      <w:pPr>
        <w:pStyle w:val="ListParagraph"/>
        <w:numPr>
          <w:ilvl w:val="1"/>
          <w:numId w:val="9"/>
        </w:numPr>
        <w:spacing w:line="360" w:lineRule="auto"/>
        <w:jc w:val="both"/>
        <w:rPr>
          <w:sz w:val="24"/>
          <w:szCs w:val="24"/>
        </w:rPr>
      </w:pPr>
      <w:r w:rsidRPr="00F73F44">
        <w:rPr>
          <w:sz w:val="24"/>
          <w:szCs w:val="24"/>
        </w:rPr>
        <w:t>I</w:t>
      </w:r>
      <w:r w:rsidR="00C7427F" w:rsidRPr="00F73F44">
        <w:rPr>
          <w:sz w:val="24"/>
          <w:szCs w:val="24"/>
        </w:rPr>
        <w:t>f an inconsistency</w:t>
      </w:r>
      <w:r w:rsidRPr="00F73F44">
        <w:rPr>
          <w:sz w:val="24"/>
          <w:szCs w:val="24"/>
        </w:rPr>
        <w:t xml:space="preserve"> at proof</w:t>
      </w:r>
      <w:r w:rsidR="008F4B36">
        <w:rPr>
          <w:sz w:val="24"/>
          <w:szCs w:val="24"/>
        </w:rPr>
        <w:t>, can put a prior</w:t>
      </w:r>
      <w:r w:rsidR="00E9027D" w:rsidRPr="00F73F44">
        <w:rPr>
          <w:sz w:val="24"/>
          <w:szCs w:val="24"/>
        </w:rPr>
        <w:t xml:space="preserve"> </w:t>
      </w:r>
      <w:r w:rsidR="00C7427F" w:rsidRPr="00F73F44">
        <w:rPr>
          <w:sz w:val="24"/>
          <w:szCs w:val="24"/>
        </w:rPr>
        <w:t xml:space="preserve">report, statement (or </w:t>
      </w:r>
      <w:r w:rsidR="008F4B36">
        <w:rPr>
          <w:sz w:val="24"/>
          <w:szCs w:val="24"/>
        </w:rPr>
        <w:t xml:space="preserve">written </w:t>
      </w:r>
      <w:r w:rsidR="00C7427F" w:rsidRPr="00F73F44">
        <w:rPr>
          <w:sz w:val="24"/>
          <w:szCs w:val="24"/>
        </w:rPr>
        <w:t>Q&amp;A</w:t>
      </w:r>
      <w:r w:rsidR="004E4118">
        <w:rPr>
          <w:sz w:val="24"/>
          <w:szCs w:val="24"/>
        </w:rPr>
        <w:t>?</w:t>
      </w:r>
      <w:r w:rsidR="00C7427F" w:rsidRPr="00F73F44">
        <w:rPr>
          <w:sz w:val="24"/>
          <w:szCs w:val="24"/>
        </w:rPr>
        <w:t>) to a witness (but not a precognition)</w:t>
      </w:r>
    </w:p>
    <w:p w14:paraId="4FCF172A" w14:textId="14CE7DE9" w:rsidR="00C60964" w:rsidRDefault="00EF61C0" w:rsidP="00650468">
      <w:pPr>
        <w:pStyle w:val="ListParagraph"/>
        <w:numPr>
          <w:ilvl w:val="0"/>
          <w:numId w:val="9"/>
        </w:numPr>
        <w:spacing w:line="360" w:lineRule="auto"/>
        <w:jc w:val="both"/>
        <w:rPr>
          <w:sz w:val="24"/>
          <w:szCs w:val="24"/>
        </w:rPr>
      </w:pPr>
      <w:r w:rsidRPr="00650468">
        <w:rPr>
          <w:sz w:val="24"/>
          <w:szCs w:val="24"/>
        </w:rPr>
        <w:t>Where possible, statements should be exchanged before the By Order (Adjustment) Roll hearing</w:t>
      </w:r>
      <w:r w:rsidR="009016AD" w:rsidRPr="00650468">
        <w:rPr>
          <w:sz w:val="24"/>
          <w:szCs w:val="24"/>
        </w:rPr>
        <w:t xml:space="preserve"> (</w:t>
      </w:r>
      <w:r w:rsidR="009547F3" w:rsidRPr="00650468">
        <w:rPr>
          <w:sz w:val="24"/>
          <w:szCs w:val="24"/>
        </w:rPr>
        <w:t xml:space="preserve">PN </w:t>
      </w:r>
      <w:r w:rsidR="0008276F">
        <w:rPr>
          <w:sz w:val="24"/>
          <w:szCs w:val="24"/>
        </w:rPr>
        <w:t xml:space="preserve">6/2017, </w:t>
      </w:r>
      <w:proofErr w:type="spellStart"/>
      <w:r w:rsidR="0008276F">
        <w:rPr>
          <w:sz w:val="24"/>
          <w:szCs w:val="24"/>
        </w:rPr>
        <w:t>para</w:t>
      </w:r>
      <w:proofErr w:type="spellEnd"/>
      <w:r w:rsidR="0008276F">
        <w:rPr>
          <w:sz w:val="24"/>
          <w:szCs w:val="24"/>
        </w:rPr>
        <w:t xml:space="preserve"> 8</w:t>
      </w:r>
      <w:r w:rsidR="009016AD" w:rsidRPr="00650468">
        <w:rPr>
          <w:sz w:val="24"/>
          <w:szCs w:val="24"/>
        </w:rPr>
        <w:t>)</w:t>
      </w:r>
    </w:p>
    <w:p w14:paraId="01C0691C" w14:textId="105EA462" w:rsidR="00C60964" w:rsidRDefault="00C03A9A" w:rsidP="00650468">
      <w:pPr>
        <w:pStyle w:val="ListParagraph"/>
        <w:numPr>
          <w:ilvl w:val="0"/>
          <w:numId w:val="9"/>
        </w:numPr>
        <w:spacing w:line="360" w:lineRule="auto"/>
        <w:jc w:val="both"/>
        <w:rPr>
          <w:sz w:val="24"/>
          <w:szCs w:val="24"/>
        </w:rPr>
      </w:pPr>
      <w:r w:rsidRPr="00650468">
        <w:rPr>
          <w:sz w:val="24"/>
          <w:szCs w:val="24"/>
        </w:rPr>
        <w:t>What if</w:t>
      </w:r>
      <w:r w:rsidR="00C60964" w:rsidRPr="00650468">
        <w:rPr>
          <w:sz w:val="24"/>
          <w:szCs w:val="24"/>
        </w:rPr>
        <w:t xml:space="preserve"> </w:t>
      </w:r>
      <w:r w:rsidR="008F4B36">
        <w:rPr>
          <w:sz w:val="24"/>
          <w:szCs w:val="24"/>
        </w:rPr>
        <w:t xml:space="preserve">a </w:t>
      </w:r>
      <w:r w:rsidR="00C60964" w:rsidRPr="00650468">
        <w:rPr>
          <w:sz w:val="24"/>
          <w:szCs w:val="24"/>
        </w:rPr>
        <w:t>treating clinician refuses?</w:t>
      </w:r>
    </w:p>
    <w:p w14:paraId="0831F802" w14:textId="5D371566" w:rsidR="00C60964" w:rsidRDefault="00C60964" w:rsidP="00650468">
      <w:pPr>
        <w:pStyle w:val="ListParagraph"/>
        <w:numPr>
          <w:ilvl w:val="1"/>
          <w:numId w:val="9"/>
        </w:numPr>
        <w:spacing w:line="360" w:lineRule="auto"/>
        <w:jc w:val="both"/>
        <w:rPr>
          <w:sz w:val="24"/>
          <w:szCs w:val="24"/>
        </w:rPr>
      </w:pPr>
      <w:r w:rsidRPr="00650468">
        <w:rPr>
          <w:sz w:val="24"/>
          <w:szCs w:val="24"/>
        </w:rPr>
        <w:t>GMC guidance</w:t>
      </w:r>
      <w:r w:rsidR="005D48F5">
        <w:rPr>
          <w:sz w:val="24"/>
          <w:szCs w:val="24"/>
        </w:rPr>
        <w:t xml:space="preserve"> </w:t>
      </w:r>
      <w:r w:rsidR="004737AB">
        <w:rPr>
          <w:sz w:val="24"/>
          <w:szCs w:val="24"/>
        </w:rPr>
        <w:t xml:space="preserve">on Good Medical Practice </w:t>
      </w:r>
      <w:r w:rsidR="005D48F5">
        <w:rPr>
          <w:sz w:val="24"/>
          <w:szCs w:val="24"/>
        </w:rPr>
        <w:t>(Para 55, must be open and honest with patients if things go wrong; if a patient under your care has suffered harm or distress, you should … explain fully and promptly what has happened. Para 61, you must respond promptly, fully and honestly to complaints</w:t>
      </w:r>
      <w:r w:rsidR="004737AB">
        <w:rPr>
          <w:sz w:val="24"/>
          <w:szCs w:val="24"/>
        </w:rPr>
        <w:t>. Para 72 (Openness and legal or disciplinary proceedings), you must be honest and trustworthy when giving evidence to courts or tribunals; you must make sure that any evidence you give or documents you sign are not false or misleading. Para 73, you must cooperate with formal inquiries and complaints procedures and must offer all relevant information</w:t>
      </w:r>
      <w:r w:rsidR="005D48F5">
        <w:rPr>
          <w:sz w:val="24"/>
          <w:szCs w:val="24"/>
        </w:rPr>
        <w:t xml:space="preserve">) </w:t>
      </w:r>
    </w:p>
    <w:p w14:paraId="28CE1C43" w14:textId="77777777" w:rsidR="009A5855" w:rsidRDefault="007B5608" w:rsidP="00650468">
      <w:pPr>
        <w:pStyle w:val="ListParagraph"/>
        <w:numPr>
          <w:ilvl w:val="1"/>
          <w:numId w:val="9"/>
        </w:numPr>
        <w:spacing w:line="360" w:lineRule="auto"/>
        <w:jc w:val="both"/>
        <w:rPr>
          <w:sz w:val="24"/>
          <w:szCs w:val="24"/>
        </w:rPr>
      </w:pPr>
      <w:r w:rsidRPr="00650468">
        <w:rPr>
          <w:sz w:val="24"/>
          <w:szCs w:val="24"/>
        </w:rPr>
        <w:t xml:space="preserve">Expenses </w:t>
      </w:r>
      <w:r w:rsidR="005838DB">
        <w:rPr>
          <w:sz w:val="24"/>
          <w:szCs w:val="24"/>
        </w:rPr>
        <w:t>implications</w:t>
      </w:r>
      <w:r w:rsidR="009A5855">
        <w:rPr>
          <w:sz w:val="24"/>
          <w:szCs w:val="24"/>
        </w:rPr>
        <w:t xml:space="preserve"> </w:t>
      </w:r>
    </w:p>
    <w:p w14:paraId="57063FDD" w14:textId="773FEDC0" w:rsidR="0022121B" w:rsidRDefault="0022121B" w:rsidP="00650468">
      <w:pPr>
        <w:pStyle w:val="ListParagraph"/>
        <w:numPr>
          <w:ilvl w:val="0"/>
          <w:numId w:val="9"/>
        </w:numPr>
        <w:spacing w:line="360" w:lineRule="auto"/>
        <w:jc w:val="both"/>
        <w:rPr>
          <w:sz w:val="24"/>
          <w:szCs w:val="24"/>
        </w:rPr>
      </w:pPr>
      <w:r w:rsidRPr="00650468">
        <w:rPr>
          <w:sz w:val="24"/>
          <w:szCs w:val="24"/>
        </w:rPr>
        <w:t xml:space="preserve">Does court </w:t>
      </w:r>
      <w:r w:rsidR="007715FE" w:rsidRPr="00650468">
        <w:rPr>
          <w:sz w:val="24"/>
          <w:szCs w:val="24"/>
        </w:rPr>
        <w:t>have the power to compel a witness</w:t>
      </w:r>
      <w:r w:rsidRPr="00650468">
        <w:rPr>
          <w:sz w:val="24"/>
          <w:szCs w:val="24"/>
        </w:rPr>
        <w:t xml:space="preserve"> to provide a statement</w:t>
      </w:r>
      <w:r w:rsidR="007715FE" w:rsidRPr="00650468">
        <w:rPr>
          <w:sz w:val="24"/>
          <w:szCs w:val="24"/>
        </w:rPr>
        <w:t xml:space="preserve"> or precognition</w:t>
      </w:r>
      <w:r w:rsidRPr="00650468">
        <w:rPr>
          <w:sz w:val="24"/>
          <w:szCs w:val="24"/>
        </w:rPr>
        <w:t>?</w:t>
      </w:r>
    </w:p>
    <w:p w14:paraId="400F400F" w14:textId="15F6CE79" w:rsidR="004038F5" w:rsidRDefault="004038F5" w:rsidP="00650468">
      <w:pPr>
        <w:pStyle w:val="ListParagraph"/>
        <w:numPr>
          <w:ilvl w:val="1"/>
          <w:numId w:val="9"/>
        </w:numPr>
        <w:spacing w:line="360" w:lineRule="auto"/>
        <w:jc w:val="both"/>
        <w:rPr>
          <w:sz w:val="24"/>
          <w:szCs w:val="24"/>
        </w:rPr>
      </w:pPr>
      <w:r w:rsidRPr="00650468">
        <w:rPr>
          <w:i/>
          <w:sz w:val="24"/>
          <w:szCs w:val="24"/>
        </w:rPr>
        <w:t>Henderson v Thomson</w:t>
      </w:r>
      <w:r w:rsidRPr="00650468">
        <w:rPr>
          <w:sz w:val="24"/>
          <w:szCs w:val="24"/>
        </w:rPr>
        <w:t xml:space="preserve">, 1911 SC 246 (cited in </w:t>
      </w:r>
      <w:proofErr w:type="spellStart"/>
      <w:r w:rsidRPr="00650468">
        <w:rPr>
          <w:sz w:val="24"/>
          <w:szCs w:val="24"/>
        </w:rPr>
        <w:t>McPhail</w:t>
      </w:r>
      <w:proofErr w:type="spellEnd"/>
      <w:r w:rsidRPr="00650468">
        <w:rPr>
          <w:sz w:val="24"/>
          <w:szCs w:val="24"/>
        </w:rPr>
        <w:t xml:space="preserve">, Sheriff Court Practice, </w:t>
      </w:r>
      <w:proofErr w:type="spellStart"/>
      <w:r w:rsidRPr="00650468">
        <w:rPr>
          <w:sz w:val="24"/>
          <w:szCs w:val="24"/>
        </w:rPr>
        <w:t>para</w:t>
      </w:r>
      <w:proofErr w:type="spellEnd"/>
      <w:r w:rsidRPr="00650468">
        <w:rPr>
          <w:sz w:val="24"/>
          <w:szCs w:val="24"/>
        </w:rPr>
        <w:t xml:space="preserve"> 15.08, as authority for the proposition that</w:t>
      </w:r>
      <w:r w:rsidR="007715FE" w:rsidRPr="00650468">
        <w:rPr>
          <w:sz w:val="24"/>
          <w:szCs w:val="24"/>
        </w:rPr>
        <w:t>:</w:t>
      </w:r>
      <w:r w:rsidRPr="00650468">
        <w:rPr>
          <w:sz w:val="24"/>
          <w:szCs w:val="24"/>
        </w:rPr>
        <w:t xml:space="preserve"> </w:t>
      </w:r>
      <w:r w:rsidRPr="007E5FB7">
        <w:rPr>
          <w:sz w:val="24"/>
          <w:szCs w:val="24"/>
        </w:rPr>
        <w:t>“The court will not order a witness to submit to a precognition”</w:t>
      </w:r>
      <w:r w:rsidRPr="00650468">
        <w:rPr>
          <w:sz w:val="24"/>
          <w:szCs w:val="24"/>
        </w:rPr>
        <w:t>)</w:t>
      </w:r>
    </w:p>
    <w:p w14:paraId="61B641A2" w14:textId="681CC7AB" w:rsidR="007715FE" w:rsidRDefault="004038F5" w:rsidP="00650468">
      <w:pPr>
        <w:pStyle w:val="ListParagraph"/>
        <w:numPr>
          <w:ilvl w:val="1"/>
          <w:numId w:val="9"/>
        </w:numPr>
        <w:spacing w:line="360" w:lineRule="auto"/>
        <w:jc w:val="both"/>
        <w:rPr>
          <w:sz w:val="24"/>
          <w:szCs w:val="24"/>
        </w:rPr>
      </w:pPr>
      <w:r w:rsidRPr="00650468">
        <w:rPr>
          <w:sz w:val="24"/>
          <w:szCs w:val="24"/>
        </w:rPr>
        <w:t xml:space="preserve">In </w:t>
      </w:r>
      <w:r w:rsidRPr="005838DB">
        <w:rPr>
          <w:i/>
          <w:sz w:val="24"/>
          <w:szCs w:val="24"/>
        </w:rPr>
        <w:t>Henderson</w:t>
      </w:r>
      <w:r w:rsidRPr="00650468">
        <w:rPr>
          <w:sz w:val="24"/>
          <w:szCs w:val="24"/>
        </w:rPr>
        <w:t xml:space="preserve">, the P sought an order for the D to disclose the names and addresses of witnesses and to allow her reasonable facilities to </w:t>
      </w:r>
      <w:proofErr w:type="spellStart"/>
      <w:r w:rsidRPr="00650468">
        <w:rPr>
          <w:sz w:val="24"/>
          <w:szCs w:val="24"/>
        </w:rPr>
        <w:t>precognose</w:t>
      </w:r>
      <w:proofErr w:type="spellEnd"/>
      <w:r w:rsidRPr="00650468">
        <w:rPr>
          <w:sz w:val="24"/>
          <w:szCs w:val="24"/>
        </w:rPr>
        <w:t xml:space="preserve"> them –</w:t>
      </w:r>
      <w:r w:rsidR="007715FE" w:rsidRPr="00650468">
        <w:rPr>
          <w:sz w:val="24"/>
          <w:szCs w:val="24"/>
        </w:rPr>
        <w:t xml:space="preserve"> the 1</w:t>
      </w:r>
      <w:r w:rsidR="007715FE" w:rsidRPr="00650468">
        <w:rPr>
          <w:sz w:val="24"/>
          <w:szCs w:val="24"/>
          <w:vertAlign w:val="superscript"/>
        </w:rPr>
        <w:t>st</w:t>
      </w:r>
      <w:r w:rsidR="007715FE" w:rsidRPr="00650468">
        <w:rPr>
          <w:sz w:val="24"/>
          <w:szCs w:val="24"/>
        </w:rPr>
        <w:t xml:space="preserve"> </w:t>
      </w:r>
      <w:r w:rsidRPr="00650468">
        <w:rPr>
          <w:sz w:val="24"/>
          <w:szCs w:val="24"/>
        </w:rPr>
        <w:t xml:space="preserve">Division </w:t>
      </w:r>
      <w:r w:rsidR="007715FE" w:rsidRPr="00650468">
        <w:rPr>
          <w:sz w:val="24"/>
          <w:szCs w:val="24"/>
        </w:rPr>
        <w:t xml:space="preserve">refused, with the LP stating: </w:t>
      </w:r>
      <w:r w:rsidR="007715FE" w:rsidRPr="007E5FB7">
        <w:rPr>
          <w:sz w:val="24"/>
          <w:szCs w:val="24"/>
        </w:rPr>
        <w:t xml:space="preserve">“though for reasons of public policy the Courts can and will compel persons </w:t>
      </w:r>
      <w:proofErr w:type="spellStart"/>
      <w:r w:rsidR="007715FE" w:rsidRPr="007E5FB7">
        <w:rPr>
          <w:sz w:val="24"/>
          <w:szCs w:val="24"/>
        </w:rPr>
        <w:t>invitos</w:t>
      </w:r>
      <w:proofErr w:type="spellEnd"/>
      <w:r w:rsidR="007715FE" w:rsidRPr="007E5FB7">
        <w:rPr>
          <w:sz w:val="24"/>
          <w:szCs w:val="24"/>
        </w:rPr>
        <w:t xml:space="preserve"> to give testimony, they have never asserted, or tried to exercise, that power as regards giving precognitions. I have never heard of a compulsory order in a civil case to submit to precognition”</w:t>
      </w:r>
      <w:r w:rsidR="007715FE" w:rsidRPr="00650468">
        <w:rPr>
          <w:sz w:val="24"/>
          <w:szCs w:val="24"/>
        </w:rPr>
        <w:t xml:space="preserve"> (p249)</w:t>
      </w:r>
    </w:p>
    <w:p w14:paraId="6A6DC743" w14:textId="33BC4695" w:rsidR="00E87035" w:rsidRPr="00E87035" w:rsidRDefault="005C30C7" w:rsidP="00E87035">
      <w:pPr>
        <w:pStyle w:val="ListParagraph"/>
        <w:numPr>
          <w:ilvl w:val="1"/>
          <w:numId w:val="9"/>
        </w:numPr>
        <w:spacing w:line="360" w:lineRule="auto"/>
        <w:jc w:val="both"/>
        <w:rPr>
          <w:sz w:val="24"/>
          <w:szCs w:val="24"/>
        </w:rPr>
      </w:pPr>
      <w:r>
        <w:rPr>
          <w:sz w:val="24"/>
          <w:szCs w:val="24"/>
        </w:rPr>
        <w:t xml:space="preserve">Is this case still good law? If so, </w:t>
      </w:r>
      <w:r w:rsidR="007E5FB7">
        <w:rPr>
          <w:sz w:val="24"/>
          <w:szCs w:val="24"/>
        </w:rPr>
        <w:t xml:space="preserve">does it require to be </w:t>
      </w:r>
      <w:r>
        <w:rPr>
          <w:sz w:val="24"/>
          <w:szCs w:val="24"/>
        </w:rPr>
        <w:t>reconsidered in light of modern case management practice?</w:t>
      </w:r>
    </w:p>
    <w:p w14:paraId="58EC9A65" w14:textId="38AA1089" w:rsidR="00E87035" w:rsidRDefault="00E87035" w:rsidP="00650468">
      <w:pPr>
        <w:pStyle w:val="ListParagraph"/>
        <w:numPr>
          <w:ilvl w:val="0"/>
          <w:numId w:val="9"/>
        </w:numPr>
        <w:spacing w:line="360" w:lineRule="auto"/>
        <w:jc w:val="both"/>
        <w:rPr>
          <w:sz w:val="24"/>
          <w:szCs w:val="24"/>
        </w:rPr>
      </w:pPr>
      <w:r>
        <w:rPr>
          <w:sz w:val="24"/>
          <w:szCs w:val="24"/>
        </w:rPr>
        <w:t xml:space="preserve">Can/should a commission be arranged to take the evidence of a treating clinician who refuses to provide a statement? </w:t>
      </w:r>
    </w:p>
    <w:p w14:paraId="6A90D9C8" w14:textId="45476C28" w:rsidR="007715FE" w:rsidRDefault="007715FE" w:rsidP="00650468">
      <w:pPr>
        <w:pStyle w:val="ListParagraph"/>
        <w:numPr>
          <w:ilvl w:val="0"/>
          <w:numId w:val="9"/>
        </w:numPr>
        <w:spacing w:line="360" w:lineRule="auto"/>
        <w:jc w:val="both"/>
        <w:rPr>
          <w:sz w:val="24"/>
          <w:szCs w:val="24"/>
        </w:rPr>
      </w:pPr>
      <w:r w:rsidRPr="00650468">
        <w:rPr>
          <w:sz w:val="24"/>
          <w:szCs w:val="24"/>
        </w:rPr>
        <w:t>Does the court have the power to compel a party to disclose a statement or precognition in its possession?</w:t>
      </w:r>
    </w:p>
    <w:p w14:paraId="28754EF7" w14:textId="77777777" w:rsidR="0015063B" w:rsidRDefault="0015063B" w:rsidP="00650468">
      <w:pPr>
        <w:pStyle w:val="ListParagraph"/>
        <w:numPr>
          <w:ilvl w:val="1"/>
          <w:numId w:val="9"/>
        </w:numPr>
        <w:spacing w:line="360" w:lineRule="auto"/>
        <w:jc w:val="both"/>
        <w:rPr>
          <w:sz w:val="24"/>
          <w:szCs w:val="24"/>
        </w:rPr>
      </w:pPr>
      <w:r w:rsidRPr="0015063B">
        <w:rPr>
          <w:i/>
          <w:sz w:val="24"/>
          <w:szCs w:val="24"/>
        </w:rPr>
        <w:t>P</w:t>
      </w:r>
      <w:r w:rsidR="007715FE" w:rsidRPr="0015063B">
        <w:rPr>
          <w:i/>
          <w:sz w:val="24"/>
          <w:szCs w:val="24"/>
        </w:rPr>
        <w:t xml:space="preserve">ost litem </w:t>
      </w:r>
      <w:proofErr w:type="spellStart"/>
      <w:r w:rsidR="007715FE" w:rsidRPr="0015063B">
        <w:rPr>
          <w:i/>
          <w:sz w:val="24"/>
          <w:szCs w:val="24"/>
        </w:rPr>
        <w:t>motam</w:t>
      </w:r>
      <w:proofErr w:type="spellEnd"/>
      <w:r w:rsidR="007715FE" w:rsidRPr="00650468">
        <w:rPr>
          <w:sz w:val="24"/>
          <w:szCs w:val="24"/>
        </w:rPr>
        <w:t xml:space="preserve"> privilege</w:t>
      </w:r>
      <w:r>
        <w:rPr>
          <w:sz w:val="24"/>
          <w:szCs w:val="24"/>
        </w:rPr>
        <w:t xml:space="preserve"> (i.e. documents prepared for or in anticipation of litigation) </w:t>
      </w:r>
    </w:p>
    <w:p w14:paraId="600D13D8" w14:textId="1EE55CD3" w:rsidR="007715FE" w:rsidRDefault="0015063B" w:rsidP="00650468">
      <w:pPr>
        <w:pStyle w:val="ListParagraph"/>
        <w:numPr>
          <w:ilvl w:val="1"/>
          <w:numId w:val="9"/>
        </w:numPr>
        <w:spacing w:line="360" w:lineRule="auto"/>
        <w:jc w:val="both"/>
        <w:rPr>
          <w:sz w:val="24"/>
          <w:szCs w:val="24"/>
        </w:rPr>
      </w:pPr>
      <w:proofErr w:type="gramStart"/>
      <w:r>
        <w:rPr>
          <w:sz w:val="24"/>
          <w:szCs w:val="24"/>
        </w:rPr>
        <w:t>c</w:t>
      </w:r>
      <w:proofErr w:type="gramEnd"/>
      <w:r>
        <w:rPr>
          <w:sz w:val="24"/>
          <w:szCs w:val="24"/>
        </w:rPr>
        <w:t xml:space="preserve">.f. </w:t>
      </w:r>
      <w:r w:rsidRPr="0015063B">
        <w:rPr>
          <w:i/>
          <w:sz w:val="24"/>
          <w:szCs w:val="24"/>
        </w:rPr>
        <w:t>Komori v Tayside Health Board</w:t>
      </w:r>
      <w:r>
        <w:rPr>
          <w:sz w:val="24"/>
          <w:szCs w:val="24"/>
        </w:rPr>
        <w:t xml:space="preserve">, 2010 SLT 387 – documents prepared in response to a complaint made to the Scottish Public Sector Ombudsman before proceedings were raised </w:t>
      </w:r>
      <w:r w:rsidR="007D5F77">
        <w:rPr>
          <w:sz w:val="24"/>
          <w:szCs w:val="24"/>
        </w:rPr>
        <w:t xml:space="preserve">(and before the P had consulted a solicitor) </w:t>
      </w:r>
      <w:r>
        <w:rPr>
          <w:sz w:val="24"/>
          <w:szCs w:val="24"/>
        </w:rPr>
        <w:t>were recoverable</w:t>
      </w:r>
    </w:p>
    <w:p w14:paraId="712A1BC8" w14:textId="6F4A7815" w:rsidR="009F5B0E" w:rsidRDefault="009F5B0E" w:rsidP="009F5B0E">
      <w:pPr>
        <w:pStyle w:val="ListParagraph"/>
        <w:numPr>
          <w:ilvl w:val="0"/>
          <w:numId w:val="9"/>
        </w:numPr>
        <w:spacing w:line="360" w:lineRule="auto"/>
        <w:jc w:val="both"/>
        <w:rPr>
          <w:sz w:val="24"/>
          <w:szCs w:val="24"/>
        </w:rPr>
      </w:pPr>
      <w:r>
        <w:rPr>
          <w:sz w:val="24"/>
          <w:szCs w:val="24"/>
        </w:rPr>
        <w:t>Commercial Court</w:t>
      </w:r>
    </w:p>
    <w:p w14:paraId="65E46187" w14:textId="3782DCC5" w:rsidR="004E4118" w:rsidRDefault="004C4184" w:rsidP="009F5B0E">
      <w:pPr>
        <w:pStyle w:val="ListParagraph"/>
        <w:numPr>
          <w:ilvl w:val="1"/>
          <w:numId w:val="9"/>
        </w:numPr>
        <w:spacing w:line="360" w:lineRule="auto"/>
        <w:jc w:val="both"/>
        <w:rPr>
          <w:sz w:val="24"/>
          <w:szCs w:val="24"/>
        </w:rPr>
      </w:pPr>
      <w:r>
        <w:rPr>
          <w:sz w:val="24"/>
          <w:szCs w:val="24"/>
        </w:rPr>
        <w:t xml:space="preserve">NB </w:t>
      </w:r>
      <w:r w:rsidR="004E4118">
        <w:rPr>
          <w:sz w:val="24"/>
          <w:szCs w:val="24"/>
        </w:rPr>
        <w:t>G</w:t>
      </w:r>
      <w:r w:rsidR="008232B9">
        <w:rPr>
          <w:sz w:val="24"/>
          <w:szCs w:val="24"/>
        </w:rPr>
        <w:t>uidance Note by the commercial j</w:t>
      </w:r>
      <w:r w:rsidR="004E4118">
        <w:rPr>
          <w:sz w:val="24"/>
          <w:szCs w:val="24"/>
        </w:rPr>
        <w:t>udges on the use of signed witness statements or affidavits (</w:t>
      </w:r>
      <w:proofErr w:type="spellStart"/>
      <w:r w:rsidR="004E4118">
        <w:rPr>
          <w:sz w:val="24"/>
          <w:szCs w:val="24"/>
        </w:rPr>
        <w:t>Scotcourts</w:t>
      </w:r>
      <w:proofErr w:type="spellEnd"/>
      <w:r w:rsidR="004E4118">
        <w:rPr>
          <w:sz w:val="24"/>
          <w:szCs w:val="24"/>
        </w:rPr>
        <w:t xml:space="preserve"> website)</w:t>
      </w:r>
    </w:p>
    <w:p w14:paraId="38F76D5E" w14:textId="6D2DCE36" w:rsidR="009F5B0E" w:rsidRDefault="009F5B0E" w:rsidP="009F5B0E">
      <w:pPr>
        <w:pStyle w:val="ListParagraph"/>
        <w:numPr>
          <w:ilvl w:val="1"/>
          <w:numId w:val="9"/>
        </w:numPr>
        <w:spacing w:line="360" w:lineRule="auto"/>
        <w:jc w:val="both"/>
        <w:rPr>
          <w:sz w:val="24"/>
          <w:szCs w:val="24"/>
        </w:rPr>
      </w:pPr>
      <w:r>
        <w:rPr>
          <w:sz w:val="24"/>
          <w:szCs w:val="24"/>
        </w:rPr>
        <w:t>Statements should not be “carefully edited” and “the court derives the most benefit from statements which carry the author’s au</w:t>
      </w:r>
      <w:r w:rsidR="008232B9">
        <w:rPr>
          <w:sz w:val="24"/>
          <w:szCs w:val="24"/>
        </w:rPr>
        <w:t xml:space="preserve">thentic ‘voice’” (Lord </w:t>
      </w:r>
      <w:proofErr w:type="spellStart"/>
      <w:r w:rsidR="008232B9">
        <w:rPr>
          <w:sz w:val="24"/>
          <w:szCs w:val="24"/>
        </w:rPr>
        <w:t>Woolman</w:t>
      </w:r>
      <w:proofErr w:type="spellEnd"/>
      <w:r w:rsidR="008232B9">
        <w:rPr>
          <w:sz w:val="24"/>
          <w:szCs w:val="24"/>
        </w:rPr>
        <w:t xml:space="preserve">, </w:t>
      </w:r>
      <w:r w:rsidR="008232B9" w:rsidRPr="005B5A29">
        <w:rPr>
          <w:i/>
          <w:sz w:val="24"/>
          <w:szCs w:val="24"/>
        </w:rPr>
        <w:t xml:space="preserve">SSE Generation Ltd v </w:t>
      </w:r>
      <w:proofErr w:type="spellStart"/>
      <w:r w:rsidR="008232B9" w:rsidRPr="005B5A29">
        <w:rPr>
          <w:i/>
          <w:sz w:val="24"/>
          <w:szCs w:val="24"/>
        </w:rPr>
        <w:t>Hochtieff</w:t>
      </w:r>
      <w:proofErr w:type="spellEnd"/>
      <w:r w:rsidR="008232B9" w:rsidRPr="005B5A29">
        <w:rPr>
          <w:i/>
          <w:sz w:val="24"/>
          <w:szCs w:val="24"/>
        </w:rPr>
        <w:t xml:space="preserve"> Solutions AG</w:t>
      </w:r>
      <w:r w:rsidR="008232B9">
        <w:rPr>
          <w:i/>
          <w:sz w:val="24"/>
          <w:szCs w:val="24"/>
        </w:rPr>
        <w:t>,</w:t>
      </w:r>
      <w:r w:rsidR="008232B9">
        <w:rPr>
          <w:sz w:val="24"/>
          <w:szCs w:val="24"/>
        </w:rPr>
        <w:t xml:space="preserve"> [2016] CSOH 177</w:t>
      </w:r>
      <w:r>
        <w:rPr>
          <w:sz w:val="24"/>
          <w:szCs w:val="24"/>
        </w:rPr>
        <w:t xml:space="preserve">, </w:t>
      </w:r>
      <w:proofErr w:type="spellStart"/>
      <w:r>
        <w:rPr>
          <w:sz w:val="24"/>
          <w:szCs w:val="24"/>
        </w:rPr>
        <w:t>para</w:t>
      </w:r>
      <w:proofErr w:type="spellEnd"/>
      <w:r>
        <w:rPr>
          <w:sz w:val="24"/>
          <w:szCs w:val="24"/>
        </w:rPr>
        <w:t xml:space="preserve"> [256])</w:t>
      </w:r>
    </w:p>
    <w:p w14:paraId="7778C5D5" w14:textId="166A2D20" w:rsidR="009F5B0E" w:rsidRDefault="004C4184" w:rsidP="009F5B0E">
      <w:pPr>
        <w:pStyle w:val="ListParagraph"/>
        <w:numPr>
          <w:ilvl w:val="1"/>
          <w:numId w:val="9"/>
        </w:numPr>
        <w:spacing w:line="360" w:lineRule="auto"/>
        <w:jc w:val="both"/>
        <w:rPr>
          <w:sz w:val="24"/>
          <w:szCs w:val="24"/>
        </w:rPr>
      </w:pPr>
      <w:r>
        <w:rPr>
          <w:sz w:val="24"/>
          <w:szCs w:val="24"/>
        </w:rPr>
        <w:t>NB i</w:t>
      </w:r>
      <w:r w:rsidR="00D87424">
        <w:rPr>
          <w:sz w:val="24"/>
          <w:szCs w:val="24"/>
        </w:rPr>
        <w:t>n general, a g</w:t>
      </w:r>
      <w:r w:rsidR="009F5B0E">
        <w:rPr>
          <w:sz w:val="24"/>
          <w:szCs w:val="24"/>
        </w:rPr>
        <w:t>reater use of signed witness statements or affidavits</w:t>
      </w:r>
      <w:r w:rsidR="004E4118">
        <w:rPr>
          <w:sz w:val="24"/>
          <w:szCs w:val="24"/>
        </w:rPr>
        <w:t xml:space="preserve"> in commercial actions including, e.g. t</w:t>
      </w:r>
      <w:r w:rsidR="009F5B0E">
        <w:rPr>
          <w:sz w:val="24"/>
          <w:szCs w:val="24"/>
        </w:rPr>
        <w:t>he court may direct that witness statements or affidavits shall stand as evidence in chief of the witness, subject to such further questioning in chief as the court may allow (RCS 47.12)</w:t>
      </w:r>
    </w:p>
    <w:p w14:paraId="0251DC3A" w14:textId="0DF3A495" w:rsidR="004C4184" w:rsidRPr="00094373" w:rsidRDefault="004E09EF" w:rsidP="004C4184">
      <w:pPr>
        <w:pStyle w:val="ListParagraph"/>
        <w:numPr>
          <w:ilvl w:val="0"/>
          <w:numId w:val="9"/>
        </w:numPr>
        <w:spacing w:line="360" w:lineRule="auto"/>
        <w:jc w:val="both"/>
        <w:rPr>
          <w:b/>
          <w:sz w:val="24"/>
          <w:szCs w:val="24"/>
        </w:rPr>
      </w:pPr>
      <w:r>
        <w:rPr>
          <w:b/>
          <w:sz w:val="24"/>
          <w:szCs w:val="24"/>
        </w:rPr>
        <w:t>Conclusion/q</w:t>
      </w:r>
      <w:r w:rsidR="004C4184" w:rsidRPr="00094373">
        <w:rPr>
          <w:b/>
          <w:sz w:val="24"/>
          <w:szCs w:val="24"/>
        </w:rPr>
        <w:t>uery</w:t>
      </w:r>
    </w:p>
    <w:p w14:paraId="0ABAEEBA" w14:textId="77777777" w:rsidR="004E09EF" w:rsidRDefault="004C4184" w:rsidP="00313669">
      <w:pPr>
        <w:pStyle w:val="ListParagraph"/>
        <w:numPr>
          <w:ilvl w:val="1"/>
          <w:numId w:val="9"/>
        </w:numPr>
        <w:spacing w:line="360" w:lineRule="auto"/>
        <w:jc w:val="both"/>
        <w:rPr>
          <w:sz w:val="24"/>
          <w:szCs w:val="24"/>
        </w:rPr>
      </w:pPr>
      <w:r>
        <w:rPr>
          <w:sz w:val="24"/>
          <w:szCs w:val="24"/>
        </w:rPr>
        <w:t xml:space="preserve">While the procedure (largely) works with the cooperation of parties and witnesses, that is not always the case </w:t>
      </w:r>
    </w:p>
    <w:p w14:paraId="77ABCEF7" w14:textId="56FD94B6" w:rsidR="00094373" w:rsidRDefault="004E09EF" w:rsidP="00313669">
      <w:pPr>
        <w:pStyle w:val="ListParagraph"/>
        <w:numPr>
          <w:ilvl w:val="1"/>
          <w:numId w:val="9"/>
        </w:numPr>
        <w:spacing w:line="360" w:lineRule="auto"/>
        <w:jc w:val="both"/>
        <w:rPr>
          <w:sz w:val="24"/>
          <w:szCs w:val="24"/>
        </w:rPr>
      </w:pPr>
      <w:r>
        <w:rPr>
          <w:sz w:val="24"/>
          <w:szCs w:val="24"/>
        </w:rPr>
        <w:t>Q</w:t>
      </w:r>
      <w:r w:rsidR="004C4184">
        <w:rPr>
          <w:sz w:val="24"/>
          <w:szCs w:val="24"/>
        </w:rPr>
        <w:t xml:space="preserve">uery whether this is an </w:t>
      </w:r>
      <w:r w:rsidR="004C4184" w:rsidRPr="004C4184">
        <w:rPr>
          <w:sz w:val="24"/>
          <w:szCs w:val="24"/>
        </w:rPr>
        <w:t>area that requires further considerat</w:t>
      </w:r>
      <w:r w:rsidR="004C4184">
        <w:rPr>
          <w:sz w:val="24"/>
          <w:szCs w:val="24"/>
        </w:rPr>
        <w:t>ion</w:t>
      </w:r>
      <w:r w:rsidR="00094373">
        <w:rPr>
          <w:sz w:val="24"/>
          <w:szCs w:val="24"/>
        </w:rPr>
        <w:t xml:space="preserve"> and guidance</w:t>
      </w:r>
      <w:r>
        <w:rPr>
          <w:sz w:val="24"/>
          <w:szCs w:val="24"/>
        </w:rPr>
        <w:t xml:space="preserve"> to achieve greater consistency</w:t>
      </w:r>
      <w:r w:rsidR="00094373">
        <w:rPr>
          <w:sz w:val="24"/>
          <w:szCs w:val="24"/>
        </w:rPr>
        <w:t>?</w:t>
      </w:r>
    </w:p>
    <w:p w14:paraId="6EDAB9F9" w14:textId="581D88A8" w:rsidR="003E67FD" w:rsidRPr="00313669" w:rsidRDefault="003E67FD" w:rsidP="003E67FD">
      <w:pPr>
        <w:pStyle w:val="ListParagraph"/>
        <w:spacing w:line="360" w:lineRule="auto"/>
        <w:jc w:val="both"/>
        <w:rPr>
          <w:b/>
          <w:sz w:val="24"/>
          <w:szCs w:val="24"/>
          <w:u w:val="single"/>
        </w:rPr>
      </w:pPr>
      <w:r w:rsidRPr="00313669">
        <w:rPr>
          <w:b/>
          <w:sz w:val="24"/>
          <w:szCs w:val="24"/>
          <w:u w:val="single"/>
        </w:rPr>
        <w:t>Expert witnesses</w:t>
      </w:r>
    </w:p>
    <w:p w14:paraId="39C97471" w14:textId="490FC8A4" w:rsidR="00884156" w:rsidRDefault="009B44C0" w:rsidP="00EC7F23">
      <w:pPr>
        <w:pStyle w:val="ListParagraph"/>
        <w:numPr>
          <w:ilvl w:val="0"/>
          <w:numId w:val="1"/>
        </w:numPr>
        <w:spacing w:line="360" w:lineRule="auto"/>
        <w:jc w:val="both"/>
        <w:rPr>
          <w:sz w:val="24"/>
          <w:szCs w:val="24"/>
        </w:rPr>
      </w:pPr>
      <w:r>
        <w:rPr>
          <w:sz w:val="24"/>
          <w:szCs w:val="24"/>
        </w:rPr>
        <w:t>E</w:t>
      </w:r>
      <w:r w:rsidR="003E67FD">
        <w:rPr>
          <w:sz w:val="24"/>
          <w:szCs w:val="24"/>
        </w:rPr>
        <w:t>xpert Witnesses</w:t>
      </w:r>
    </w:p>
    <w:p w14:paraId="08BC3B64" w14:textId="775E11B8" w:rsidR="00841AC4" w:rsidRDefault="003E67FD" w:rsidP="00EC7F23">
      <w:pPr>
        <w:pStyle w:val="ListParagraph"/>
        <w:numPr>
          <w:ilvl w:val="0"/>
          <w:numId w:val="5"/>
        </w:numPr>
        <w:spacing w:line="360" w:lineRule="auto"/>
        <w:jc w:val="both"/>
        <w:rPr>
          <w:sz w:val="24"/>
          <w:szCs w:val="24"/>
        </w:rPr>
      </w:pPr>
      <w:r w:rsidRPr="00094373">
        <w:rPr>
          <w:sz w:val="24"/>
          <w:szCs w:val="24"/>
        </w:rPr>
        <w:t>Aim</w:t>
      </w:r>
      <w:r>
        <w:rPr>
          <w:sz w:val="24"/>
          <w:szCs w:val="24"/>
        </w:rPr>
        <w:t xml:space="preserve"> - to make sure that one’s expert is as prepared as possible in order that their opinion will stand up to scrutiny at the proof (and/or at the joint meeting between the experts)</w:t>
      </w:r>
    </w:p>
    <w:p w14:paraId="0084EB2C" w14:textId="77777777" w:rsidR="009B44C0" w:rsidRDefault="009B44C0" w:rsidP="00EC7F23">
      <w:pPr>
        <w:pStyle w:val="ListParagraph"/>
        <w:numPr>
          <w:ilvl w:val="0"/>
          <w:numId w:val="5"/>
        </w:numPr>
        <w:spacing w:line="360" w:lineRule="auto"/>
        <w:jc w:val="both"/>
        <w:rPr>
          <w:sz w:val="24"/>
          <w:szCs w:val="24"/>
        </w:rPr>
      </w:pPr>
      <w:r>
        <w:rPr>
          <w:sz w:val="24"/>
          <w:szCs w:val="24"/>
        </w:rPr>
        <w:t>Open Record consultation</w:t>
      </w:r>
    </w:p>
    <w:p w14:paraId="063E9B7A" w14:textId="77777777" w:rsidR="009B44C0" w:rsidRDefault="009B44C0" w:rsidP="00EC7F23">
      <w:pPr>
        <w:pStyle w:val="ListParagraph"/>
        <w:numPr>
          <w:ilvl w:val="1"/>
          <w:numId w:val="5"/>
        </w:numPr>
        <w:spacing w:line="360" w:lineRule="auto"/>
        <w:jc w:val="both"/>
        <w:rPr>
          <w:sz w:val="24"/>
          <w:szCs w:val="24"/>
        </w:rPr>
      </w:pPr>
      <w:r>
        <w:rPr>
          <w:sz w:val="24"/>
          <w:szCs w:val="24"/>
        </w:rPr>
        <w:t>Check expertise (get full CV)</w:t>
      </w:r>
    </w:p>
    <w:p w14:paraId="2ADF5C68" w14:textId="315365A8" w:rsidR="009B44C0" w:rsidRDefault="009B44C0" w:rsidP="00EC7F23">
      <w:pPr>
        <w:pStyle w:val="ListParagraph"/>
        <w:numPr>
          <w:ilvl w:val="1"/>
          <w:numId w:val="5"/>
        </w:numPr>
        <w:spacing w:line="360" w:lineRule="auto"/>
        <w:jc w:val="both"/>
        <w:rPr>
          <w:sz w:val="24"/>
          <w:szCs w:val="24"/>
        </w:rPr>
      </w:pPr>
      <w:r>
        <w:rPr>
          <w:sz w:val="24"/>
          <w:szCs w:val="24"/>
        </w:rPr>
        <w:t>Check expert understands duties of expert witness (</w:t>
      </w:r>
      <w:r w:rsidRPr="00C57D54">
        <w:rPr>
          <w:i/>
          <w:sz w:val="24"/>
          <w:szCs w:val="24"/>
        </w:rPr>
        <w:t xml:space="preserve">Kennedy v </w:t>
      </w:r>
      <w:proofErr w:type="spellStart"/>
      <w:r w:rsidRPr="00C57D54">
        <w:rPr>
          <w:i/>
          <w:sz w:val="24"/>
          <w:szCs w:val="24"/>
        </w:rPr>
        <w:t>Cordia</w:t>
      </w:r>
      <w:proofErr w:type="spellEnd"/>
      <w:r w:rsidR="00780F44" w:rsidRPr="00C57D54">
        <w:rPr>
          <w:i/>
          <w:sz w:val="24"/>
          <w:szCs w:val="24"/>
        </w:rPr>
        <w:t xml:space="preserve"> (Services) LLP</w:t>
      </w:r>
      <w:r w:rsidR="00780F44">
        <w:rPr>
          <w:sz w:val="24"/>
          <w:szCs w:val="24"/>
        </w:rPr>
        <w:t xml:space="preserve">, [2016] UKSC 6, per Lords Reed and Hodge, </w:t>
      </w:r>
      <w:proofErr w:type="spellStart"/>
      <w:r w:rsidR="00C57D54">
        <w:rPr>
          <w:sz w:val="24"/>
          <w:szCs w:val="24"/>
        </w:rPr>
        <w:t>para</w:t>
      </w:r>
      <w:proofErr w:type="spellEnd"/>
      <w:r w:rsidR="00780F44">
        <w:rPr>
          <w:sz w:val="24"/>
          <w:szCs w:val="24"/>
        </w:rPr>
        <w:t xml:space="preserve"> [52]</w:t>
      </w:r>
      <w:r w:rsidR="00C57D54">
        <w:rPr>
          <w:sz w:val="24"/>
          <w:szCs w:val="24"/>
        </w:rPr>
        <w:t xml:space="preserve">, quoting with approval the summary by </w:t>
      </w:r>
      <w:proofErr w:type="spellStart"/>
      <w:r w:rsidR="00C57D54">
        <w:rPr>
          <w:sz w:val="24"/>
          <w:szCs w:val="24"/>
        </w:rPr>
        <w:t>Cresswell</w:t>
      </w:r>
      <w:proofErr w:type="spellEnd"/>
      <w:r w:rsidR="00C57D54">
        <w:rPr>
          <w:sz w:val="24"/>
          <w:szCs w:val="24"/>
        </w:rPr>
        <w:t xml:space="preserve"> J in The </w:t>
      </w:r>
      <w:proofErr w:type="spellStart"/>
      <w:r w:rsidR="00C57D54">
        <w:rPr>
          <w:sz w:val="24"/>
          <w:szCs w:val="24"/>
        </w:rPr>
        <w:t>Ikarian</w:t>
      </w:r>
      <w:proofErr w:type="spellEnd"/>
      <w:r w:rsidR="00C57D54">
        <w:rPr>
          <w:sz w:val="24"/>
          <w:szCs w:val="24"/>
        </w:rPr>
        <w:t xml:space="preserve"> Reefer</w:t>
      </w:r>
      <w:r>
        <w:rPr>
          <w:sz w:val="24"/>
          <w:szCs w:val="24"/>
        </w:rPr>
        <w:t>)</w:t>
      </w:r>
    </w:p>
    <w:p w14:paraId="55E8D2E3" w14:textId="3F8F3477" w:rsidR="009B44C0" w:rsidRDefault="009B44C0" w:rsidP="00EC7F23">
      <w:pPr>
        <w:pStyle w:val="ListParagraph"/>
        <w:numPr>
          <w:ilvl w:val="1"/>
          <w:numId w:val="5"/>
        </w:numPr>
        <w:spacing w:line="360" w:lineRule="auto"/>
        <w:jc w:val="both"/>
        <w:rPr>
          <w:sz w:val="24"/>
          <w:szCs w:val="24"/>
        </w:rPr>
      </w:pPr>
      <w:r>
        <w:rPr>
          <w:sz w:val="24"/>
          <w:szCs w:val="24"/>
        </w:rPr>
        <w:t xml:space="preserve">Check expert has taken into account all relevant (and up to date) </w:t>
      </w:r>
      <w:r w:rsidR="0070595E">
        <w:rPr>
          <w:sz w:val="24"/>
          <w:szCs w:val="24"/>
        </w:rPr>
        <w:t xml:space="preserve">information and </w:t>
      </w:r>
      <w:r>
        <w:rPr>
          <w:sz w:val="24"/>
          <w:szCs w:val="24"/>
        </w:rPr>
        <w:t>medical records (including imaging)</w:t>
      </w:r>
    </w:p>
    <w:p w14:paraId="5FEF257E" w14:textId="001070F9" w:rsidR="009B44C0" w:rsidRDefault="009B44C0" w:rsidP="00EC7F23">
      <w:pPr>
        <w:pStyle w:val="ListParagraph"/>
        <w:numPr>
          <w:ilvl w:val="1"/>
          <w:numId w:val="5"/>
        </w:numPr>
        <w:spacing w:line="360" w:lineRule="auto"/>
        <w:jc w:val="both"/>
        <w:rPr>
          <w:sz w:val="24"/>
          <w:szCs w:val="24"/>
        </w:rPr>
      </w:pPr>
      <w:r>
        <w:rPr>
          <w:sz w:val="24"/>
          <w:szCs w:val="24"/>
        </w:rPr>
        <w:t xml:space="preserve">Check </w:t>
      </w:r>
      <w:r w:rsidR="003E67FD">
        <w:rPr>
          <w:sz w:val="24"/>
          <w:szCs w:val="24"/>
        </w:rPr>
        <w:t xml:space="preserve">that </w:t>
      </w:r>
      <w:r>
        <w:rPr>
          <w:sz w:val="24"/>
          <w:szCs w:val="24"/>
        </w:rPr>
        <w:t>you understand the expert’s opinion and, importantly, the reasons for their opinion</w:t>
      </w:r>
    </w:p>
    <w:p w14:paraId="747E3ED1" w14:textId="48F346FC" w:rsidR="009B44C0" w:rsidRDefault="0020411E" w:rsidP="00EC7F23">
      <w:pPr>
        <w:pStyle w:val="ListParagraph"/>
        <w:numPr>
          <w:ilvl w:val="1"/>
          <w:numId w:val="5"/>
        </w:numPr>
        <w:spacing w:line="360" w:lineRule="auto"/>
        <w:jc w:val="both"/>
        <w:rPr>
          <w:sz w:val="24"/>
          <w:szCs w:val="24"/>
        </w:rPr>
      </w:pPr>
      <w:r>
        <w:rPr>
          <w:sz w:val="24"/>
          <w:szCs w:val="24"/>
        </w:rPr>
        <w:t>Check e</w:t>
      </w:r>
      <w:r w:rsidR="009B44C0">
        <w:rPr>
          <w:sz w:val="24"/>
          <w:szCs w:val="24"/>
        </w:rPr>
        <w:t>xpert’s response</w:t>
      </w:r>
      <w:r w:rsidR="00172D62">
        <w:rPr>
          <w:sz w:val="24"/>
          <w:szCs w:val="24"/>
        </w:rPr>
        <w:t xml:space="preserve"> to other side’s position (</w:t>
      </w:r>
      <w:r w:rsidR="009B44C0">
        <w:rPr>
          <w:sz w:val="24"/>
          <w:szCs w:val="24"/>
        </w:rPr>
        <w:t xml:space="preserve">on Record, </w:t>
      </w:r>
      <w:r w:rsidR="00172D62">
        <w:rPr>
          <w:sz w:val="24"/>
          <w:szCs w:val="24"/>
        </w:rPr>
        <w:t xml:space="preserve">if </w:t>
      </w:r>
      <w:r w:rsidR="009B44C0">
        <w:rPr>
          <w:sz w:val="24"/>
          <w:szCs w:val="24"/>
        </w:rPr>
        <w:t xml:space="preserve">reports </w:t>
      </w:r>
      <w:r w:rsidR="00172D62">
        <w:rPr>
          <w:sz w:val="24"/>
          <w:szCs w:val="24"/>
        </w:rPr>
        <w:t>not yet exchanged</w:t>
      </w:r>
      <w:r w:rsidR="009B44C0">
        <w:rPr>
          <w:sz w:val="24"/>
          <w:szCs w:val="24"/>
        </w:rPr>
        <w:t>)</w:t>
      </w:r>
    </w:p>
    <w:p w14:paraId="54F1D477" w14:textId="63AFECD1" w:rsidR="003E67FD" w:rsidRDefault="003E67FD" w:rsidP="00EC7F23">
      <w:pPr>
        <w:pStyle w:val="ListParagraph"/>
        <w:numPr>
          <w:ilvl w:val="1"/>
          <w:numId w:val="5"/>
        </w:numPr>
        <w:spacing w:line="360" w:lineRule="auto"/>
        <w:jc w:val="both"/>
        <w:rPr>
          <w:sz w:val="24"/>
          <w:szCs w:val="24"/>
        </w:rPr>
      </w:pPr>
      <w:r>
        <w:rPr>
          <w:sz w:val="24"/>
          <w:szCs w:val="24"/>
        </w:rPr>
        <w:t>Supporting literature?</w:t>
      </w:r>
    </w:p>
    <w:p w14:paraId="2A3CD548" w14:textId="37F7162D" w:rsidR="00CD6AFA" w:rsidRDefault="009B44C0" w:rsidP="00EC7F23">
      <w:pPr>
        <w:pStyle w:val="ListParagraph"/>
        <w:numPr>
          <w:ilvl w:val="1"/>
          <w:numId w:val="5"/>
        </w:numPr>
        <w:spacing w:line="360" w:lineRule="auto"/>
        <w:jc w:val="both"/>
        <w:rPr>
          <w:sz w:val="24"/>
          <w:szCs w:val="24"/>
        </w:rPr>
      </w:pPr>
      <w:r>
        <w:rPr>
          <w:sz w:val="24"/>
          <w:szCs w:val="24"/>
        </w:rPr>
        <w:t xml:space="preserve">May require to ask expert to consider revising their report before report is intimated (e.g. if </w:t>
      </w:r>
      <w:r w:rsidR="0020411E">
        <w:rPr>
          <w:sz w:val="24"/>
          <w:szCs w:val="24"/>
        </w:rPr>
        <w:t>did not have a complete and accurate understanding of the facts, if applied the wrong legal t</w:t>
      </w:r>
      <w:r w:rsidR="00CD6AFA">
        <w:rPr>
          <w:sz w:val="24"/>
          <w:szCs w:val="24"/>
        </w:rPr>
        <w:t>est</w:t>
      </w:r>
      <w:r w:rsidR="00172D62">
        <w:rPr>
          <w:sz w:val="24"/>
          <w:szCs w:val="24"/>
        </w:rPr>
        <w:t xml:space="preserve"> </w:t>
      </w:r>
      <w:proofErr w:type="spellStart"/>
      <w:r w:rsidR="00172D62">
        <w:rPr>
          <w:sz w:val="24"/>
          <w:szCs w:val="24"/>
        </w:rPr>
        <w:t>etc</w:t>
      </w:r>
      <w:proofErr w:type="spellEnd"/>
      <w:r w:rsidR="00CD6AFA">
        <w:rPr>
          <w:sz w:val="24"/>
          <w:szCs w:val="24"/>
        </w:rPr>
        <w:t>), but wording of report/</w:t>
      </w:r>
      <w:r w:rsidR="0020411E">
        <w:rPr>
          <w:sz w:val="24"/>
          <w:szCs w:val="24"/>
        </w:rPr>
        <w:t>opinion is, of course, entirely a matter for the expert</w:t>
      </w:r>
      <w:r w:rsidR="00CD6AFA">
        <w:rPr>
          <w:sz w:val="24"/>
          <w:szCs w:val="24"/>
        </w:rPr>
        <w:t xml:space="preserve"> (as they will have to defend their opinion at the proof)</w:t>
      </w:r>
    </w:p>
    <w:p w14:paraId="7ACF00A5" w14:textId="77777777" w:rsidR="00CD6AFA" w:rsidRDefault="00CD6AFA" w:rsidP="00EC7F23">
      <w:pPr>
        <w:pStyle w:val="ListParagraph"/>
        <w:numPr>
          <w:ilvl w:val="0"/>
          <w:numId w:val="5"/>
        </w:numPr>
        <w:spacing w:line="360" w:lineRule="auto"/>
        <w:jc w:val="both"/>
        <w:rPr>
          <w:sz w:val="24"/>
          <w:szCs w:val="24"/>
        </w:rPr>
      </w:pPr>
      <w:r>
        <w:rPr>
          <w:sz w:val="24"/>
          <w:szCs w:val="24"/>
        </w:rPr>
        <w:t>Closed Record consultation</w:t>
      </w:r>
    </w:p>
    <w:p w14:paraId="7258C3CF" w14:textId="202C2EA8" w:rsidR="00CD6AFA" w:rsidRPr="003E67FD" w:rsidRDefault="00CD6AFA" w:rsidP="003E67FD">
      <w:pPr>
        <w:pStyle w:val="ListParagraph"/>
        <w:numPr>
          <w:ilvl w:val="1"/>
          <w:numId w:val="5"/>
        </w:numPr>
        <w:spacing w:line="360" w:lineRule="auto"/>
        <w:jc w:val="both"/>
        <w:rPr>
          <w:sz w:val="24"/>
          <w:szCs w:val="24"/>
        </w:rPr>
      </w:pPr>
      <w:r>
        <w:rPr>
          <w:sz w:val="24"/>
          <w:szCs w:val="24"/>
        </w:rPr>
        <w:t xml:space="preserve">May require </w:t>
      </w:r>
      <w:proofErr w:type="gramStart"/>
      <w:r>
        <w:rPr>
          <w:sz w:val="24"/>
          <w:szCs w:val="24"/>
        </w:rPr>
        <w:t>to consult</w:t>
      </w:r>
      <w:proofErr w:type="gramEnd"/>
      <w:r>
        <w:rPr>
          <w:sz w:val="24"/>
          <w:szCs w:val="24"/>
        </w:rPr>
        <w:t xml:space="preserve"> with expert again when the other side’s expert reports are available</w:t>
      </w:r>
      <w:r w:rsidR="003E67FD">
        <w:rPr>
          <w:sz w:val="24"/>
          <w:szCs w:val="24"/>
        </w:rPr>
        <w:t>, after closure of the Record. W</w:t>
      </w:r>
      <w:r>
        <w:rPr>
          <w:sz w:val="24"/>
          <w:szCs w:val="24"/>
        </w:rPr>
        <w:t>hat points do they agree with, what points do they disagree with and what are their reasons for any areas of disagreement</w:t>
      </w:r>
      <w:r w:rsidR="003E67FD">
        <w:rPr>
          <w:sz w:val="24"/>
          <w:szCs w:val="24"/>
        </w:rPr>
        <w:t>? W</w:t>
      </w:r>
      <w:r>
        <w:rPr>
          <w:sz w:val="24"/>
          <w:szCs w:val="24"/>
        </w:rPr>
        <w:t xml:space="preserve">hy should your expert be preferred? </w:t>
      </w:r>
      <w:r w:rsidR="003E67FD" w:rsidRPr="003E67FD">
        <w:rPr>
          <w:sz w:val="24"/>
          <w:szCs w:val="24"/>
        </w:rPr>
        <w:t>L</w:t>
      </w:r>
      <w:r w:rsidRPr="003E67FD">
        <w:rPr>
          <w:sz w:val="24"/>
          <w:szCs w:val="24"/>
        </w:rPr>
        <w:t>iterature</w:t>
      </w:r>
      <w:r w:rsidR="003E67FD" w:rsidRPr="003E67FD">
        <w:rPr>
          <w:sz w:val="24"/>
          <w:szCs w:val="24"/>
        </w:rPr>
        <w:t xml:space="preserve"> </w:t>
      </w:r>
      <w:r w:rsidR="003E67FD">
        <w:rPr>
          <w:sz w:val="24"/>
          <w:szCs w:val="24"/>
        </w:rPr>
        <w:t xml:space="preserve">that </w:t>
      </w:r>
      <w:r w:rsidR="003E67FD" w:rsidRPr="003E67FD">
        <w:rPr>
          <w:sz w:val="24"/>
          <w:szCs w:val="24"/>
        </w:rPr>
        <w:t>help</w:t>
      </w:r>
      <w:r w:rsidR="003E67FD">
        <w:rPr>
          <w:sz w:val="24"/>
          <w:szCs w:val="24"/>
        </w:rPr>
        <w:t>s</w:t>
      </w:r>
      <w:r w:rsidR="003E67FD" w:rsidRPr="003E67FD">
        <w:rPr>
          <w:sz w:val="24"/>
          <w:szCs w:val="24"/>
        </w:rPr>
        <w:t xml:space="preserve"> </w:t>
      </w:r>
      <w:proofErr w:type="gramStart"/>
      <w:r w:rsidR="003E67FD" w:rsidRPr="003E67FD">
        <w:rPr>
          <w:sz w:val="24"/>
          <w:szCs w:val="24"/>
        </w:rPr>
        <w:t>resolve</w:t>
      </w:r>
      <w:proofErr w:type="gramEnd"/>
      <w:r w:rsidR="003E67FD" w:rsidRPr="003E67FD">
        <w:rPr>
          <w:sz w:val="24"/>
          <w:szCs w:val="24"/>
        </w:rPr>
        <w:t xml:space="preserve"> any dispute</w:t>
      </w:r>
      <w:r w:rsidRPr="003E67FD">
        <w:rPr>
          <w:sz w:val="24"/>
          <w:szCs w:val="24"/>
        </w:rPr>
        <w:t>?</w:t>
      </w:r>
    </w:p>
    <w:p w14:paraId="525CBE6E" w14:textId="77777777" w:rsidR="00CD6AFA" w:rsidRDefault="00CD6AFA" w:rsidP="00EC7F23">
      <w:pPr>
        <w:pStyle w:val="ListParagraph"/>
        <w:numPr>
          <w:ilvl w:val="1"/>
          <w:numId w:val="5"/>
        </w:numPr>
        <w:spacing w:line="360" w:lineRule="auto"/>
        <w:jc w:val="both"/>
        <w:rPr>
          <w:sz w:val="24"/>
          <w:szCs w:val="24"/>
        </w:rPr>
      </w:pPr>
      <w:r>
        <w:rPr>
          <w:sz w:val="24"/>
          <w:szCs w:val="24"/>
        </w:rPr>
        <w:t>May wish a supplementary report or letter commenting on the other side’s expert report(s)</w:t>
      </w:r>
    </w:p>
    <w:p w14:paraId="7F09AFAF" w14:textId="44DCE08B" w:rsidR="005F6F56" w:rsidRDefault="003E67FD" w:rsidP="005F6F56">
      <w:pPr>
        <w:pStyle w:val="ListParagraph"/>
        <w:numPr>
          <w:ilvl w:val="0"/>
          <w:numId w:val="5"/>
        </w:numPr>
        <w:spacing w:line="360" w:lineRule="auto"/>
        <w:jc w:val="both"/>
        <w:rPr>
          <w:sz w:val="24"/>
          <w:szCs w:val="24"/>
        </w:rPr>
      </w:pPr>
      <w:r>
        <w:rPr>
          <w:sz w:val="24"/>
          <w:szCs w:val="24"/>
        </w:rPr>
        <w:t xml:space="preserve">If it has been a long time since last consulted with expert may wish to consult with </w:t>
      </w:r>
      <w:r w:rsidR="005F6F56">
        <w:rPr>
          <w:sz w:val="24"/>
          <w:szCs w:val="24"/>
        </w:rPr>
        <w:t xml:space="preserve">expert </w:t>
      </w:r>
      <w:r>
        <w:rPr>
          <w:sz w:val="24"/>
          <w:szCs w:val="24"/>
        </w:rPr>
        <w:t xml:space="preserve">again </w:t>
      </w:r>
      <w:r w:rsidR="005F6F56">
        <w:rPr>
          <w:sz w:val="24"/>
          <w:szCs w:val="24"/>
        </w:rPr>
        <w:t xml:space="preserve">before </w:t>
      </w:r>
      <w:r>
        <w:rPr>
          <w:sz w:val="24"/>
          <w:szCs w:val="24"/>
        </w:rPr>
        <w:t xml:space="preserve">any </w:t>
      </w:r>
      <w:r w:rsidR="005F6F56">
        <w:rPr>
          <w:sz w:val="24"/>
          <w:szCs w:val="24"/>
        </w:rPr>
        <w:t>joint meeting</w:t>
      </w:r>
      <w:r>
        <w:rPr>
          <w:sz w:val="24"/>
          <w:szCs w:val="24"/>
        </w:rPr>
        <w:t xml:space="preserve"> of experts</w:t>
      </w:r>
    </w:p>
    <w:p w14:paraId="64CF1CF7" w14:textId="61BAA470" w:rsidR="005F6F56" w:rsidRDefault="003E67FD" w:rsidP="005F6F56">
      <w:pPr>
        <w:pStyle w:val="ListParagraph"/>
        <w:numPr>
          <w:ilvl w:val="1"/>
          <w:numId w:val="5"/>
        </w:numPr>
        <w:spacing w:line="360" w:lineRule="auto"/>
        <w:jc w:val="both"/>
        <w:rPr>
          <w:sz w:val="24"/>
          <w:szCs w:val="24"/>
        </w:rPr>
      </w:pPr>
      <w:r>
        <w:rPr>
          <w:sz w:val="24"/>
          <w:szCs w:val="24"/>
        </w:rPr>
        <w:t>T</w:t>
      </w:r>
      <w:r w:rsidR="005F6F56">
        <w:rPr>
          <w:sz w:val="24"/>
          <w:szCs w:val="24"/>
        </w:rPr>
        <w:t xml:space="preserve">o </w:t>
      </w:r>
      <w:r>
        <w:rPr>
          <w:sz w:val="24"/>
          <w:szCs w:val="24"/>
        </w:rPr>
        <w:t xml:space="preserve">consider any developments/additional information since you last consulted and to refresh consideration of </w:t>
      </w:r>
      <w:r w:rsidR="005F6F56">
        <w:rPr>
          <w:sz w:val="24"/>
          <w:szCs w:val="24"/>
        </w:rPr>
        <w:t xml:space="preserve">their opinion, the reasons for </w:t>
      </w:r>
      <w:r>
        <w:rPr>
          <w:sz w:val="24"/>
          <w:szCs w:val="24"/>
        </w:rPr>
        <w:t xml:space="preserve">the </w:t>
      </w:r>
      <w:r w:rsidR="005F6F56">
        <w:rPr>
          <w:sz w:val="24"/>
          <w:szCs w:val="24"/>
        </w:rPr>
        <w:t>opinion, any supporting literature and, importantly, the other side’s expert report(s)</w:t>
      </w:r>
    </w:p>
    <w:p w14:paraId="323D6719" w14:textId="77777777" w:rsidR="003E67FD" w:rsidRDefault="003E67FD" w:rsidP="005F6F56">
      <w:pPr>
        <w:pStyle w:val="ListParagraph"/>
        <w:numPr>
          <w:ilvl w:val="1"/>
          <w:numId w:val="5"/>
        </w:numPr>
        <w:spacing w:line="360" w:lineRule="auto"/>
        <w:jc w:val="both"/>
        <w:rPr>
          <w:sz w:val="24"/>
          <w:szCs w:val="24"/>
        </w:rPr>
      </w:pPr>
      <w:r>
        <w:rPr>
          <w:sz w:val="24"/>
          <w:szCs w:val="24"/>
        </w:rPr>
        <w:t xml:space="preserve"> C</w:t>
      </w:r>
      <w:r w:rsidR="005F6F56" w:rsidRPr="005F6F56">
        <w:rPr>
          <w:sz w:val="24"/>
          <w:szCs w:val="24"/>
        </w:rPr>
        <w:t>onsider (a) sending note of consu</w:t>
      </w:r>
      <w:r>
        <w:rPr>
          <w:sz w:val="24"/>
          <w:szCs w:val="24"/>
        </w:rPr>
        <w:t>ltation to expert (to remind them of the views they expressed at consultation)</w:t>
      </w:r>
      <w:r w:rsidR="005F6F56" w:rsidRPr="005F6F56">
        <w:rPr>
          <w:sz w:val="24"/>
          <w:szCs w:val="24"/>
        </w:rPr>
        <w:t xml:space="preserve"> and (b) asking for a short letter summarising their views on the key points in the case (may reflect the items in the agenda)</w:t>
      </w:r>
      <w:r>
        <w:rPr>
          <w:sz w:val="24"/>
          <w:szCs w:val="24"/>
        </w:rPr>
        <w:t xml:space="preserve"> </w:t>
      </w:r>
    </w:p>
    <w:p w14:paraId="4B0260E5" w14:textId="775BF6F4" w:rsidR="00CD6AFA" w:rsidRDefault="00CD6AFA" w:rsidP="00EC7F23">
      <w:pPr>
        <w:pStyle w:val="ListParagraph"/>
        <w:numPr>
          <w:ilvl w:val="0"/>
          <w:numId w:val="5"/>
        </w:numPr>
        <w:spacing w:line="360" w:lineRule="auto"/>
        <w:jc w:val="both"/>
        <w:rPr>
          <w:sz w:val="24"/>
          <w:szCs w:val="24"/>
        </w:rPr>
      </w:pPr>
      <w:r>
        <w:rPr>
          <w:sz w:val="24"/>
          <w:szCs w:val="24"/>
        </w:rPr>
        <w:t>Joint</w:t>
      </w:r>
      <w:r w:rsidR="005F6F56">
        <w:rPr>
          <w:sz w:val="24"/>
          <w:szCs w:val="24"/>
        </w:rPr>
        <w:t xml:space="preserve"> meeting of experts</w:t>
      </w:r>
    </w:p>
    <w:p w14:paraId="2E061AB4" w14:textId="14E74D55" w:rsidR="007A575C" w:rsidRDefault="007A575C" w:rsidP="00EC7F23">
      <w:pPr>
        <w:pStyle w:val="ListParagraph"/>
        <w:numPr>
          <w:ilvl w:val="1"/>
          <w:numId w:val="5"/>
        </w:numPr>
        <w:spacing w:line="360" w:lineRule="auto"/>
        <w:jc w:val="both"/>
        <w:rPr>
          <w:sz w:val="24"/>
          <w:szCs w:val="24"/>
        </w:rPr>
      </w:pPr>
      <w:r>
        <w:rPr>
          <w:sz w:val="24"/>
          <w:szCs w:val="24"/>
        </w:rPr>
        <w:t>Aim – to agree and narrow the issues</w:t>
      </w:r>
    </w:p>
    <w:p w14:paraId="354C105A" w14:textId="6D1D660E" w:rsidR="00884156" w:rsidRDefault="00884156" w:rsidP="00EC7F23">
      <w:pPr>
        <w:pStyle w:val="ListParagraph"/>
        <w:numPr>
          <w:ilvl w:val="1"/>
          <w:numId w:val="5"/>
        </w:numPr>
        <w:spacing w:line="360" w:lineRule="auto"/>
        <w:jc w:val="both"/>
        <w:rPr>
          <w:sz w:val="24"/>
          <w:szCs w:val="24"/>
        </w:rPr>
      </w:pPr>
      <w:r>
        <w:rPr>
          <w:sz w:val="24"/>
          <w:szCs w:val="24"/>
        </w:rPr>
        <w:t>Pros and cons (</w:t>
      </w:r>
      <w:r w:rsidR="005F6F56">
        <w:rPr>
          <w:sz w:val="24"/>
          <w:szCs w:val="24"/>
        </w:rPr>
        <w:t>lawyers lose control but (1) can try and ensure expert is as prepared for the meeting as possible (see above)</w:t>
      </w:r>
      <w:r w:rsidR="007059C2">
        <w:rPr>
          <w:sz w:val="24"/>
          <w:szCs w:val="24"/>
        </w:rPr>
        <w:t xml:space="preserve">, </w:t>
      </w:r>
      <w:r w:rsidR="005F6F56">
        <w:rPr>
          <w:sz w:val="24"/>
          <w:szCs w:val="24"/>
        </w:rPr>
        <w:t xml:space="preserve">(2) if a concession is </w:t>
      </w:r>
      <w:r>
        <w:rPr>
          <w:sz w:val="24"/>
          <w:szCs w:val="24"/>
        </w:rPr>
        <w:t xml:space="preserve">going to </w:t>
      </w:r>
      <w:r w:rsidR="005F6F56">
        <w:rPr>
          <w:sz w:val="24"/>
          <w:szCs w:val="24"/>
        </w:rPr>
        <w:t xml:space="preserve">be made, </w:t>
      </w:r>
      <w:r>
        <w:rPr>
          <w:sz w:val="24"/>
          <w:szCs w:val="24"/>
        </w:rPr>
        <w:t>better to know in advance of proof</w:t>
      </w:r>
      <w:r w:rsidR="007059C2">
        <w:rPr>
          <w:sz w:val="24"/>
          <w:szCs w:val="24"/>
        </w:rPr>
        <w:t xml:space="preserve"> and (3) should help in narro</w:t>
      </w:r>
      <w:r w:rsidR="00747D31">
        <w:rPr>
          <w:sz w:val="24"/>
          <w:szCs w:val="24"/>
        </w:rPr>
        <w:t xml:space="preserve">wing the issues in dispute/shortening </w:t>
      </w:r>
      <w:r w:rsidR="007059C2">
        <w:rPr>
          <w:sz w:val="24"/>
          <w:szCs w:val="24"/>
        </w:rPr>
        <w:t>the proof</w:t>
      </w:r>
      <w:r>
        <w:rPr>
          <w:sz w:val="24"/>
          <w:szCs w:val="24"/>
        </w:rPr>
        <w:t>)</w:t>
      </w:r>
    </w:p>
    <w:p w14:paraId="611EE9ED" w14:textId="07FD939C" w:rsidR="008517CE" w:rsidRDefault="00884156" w:rsidP="00EC7F23">
      <w:pPr>
        <w:pStyle w:val="ListParagraph"/>
        <w:numPr>
          <w:ilvl w:val="1"/>
          <w:numId w:val="5"/>
        </w:numPr>
        <w:spacing w:line="360" w:lineRule="auto"/>
        <w:jc w:val="both"/>
        <w:rPr>
          <w:sz w:val="24"/>
          <w:szCs w:val="24"/>
        </w:rPr>
      </w:pPr>
      <w:r w:rsidRPr="00CD6AFA">
        <w:rPr>
          <w:sz w:val="24"/>
          <w:szCs w:val="24"/>
        </w:rPr>
        <w:t>Agenda (</w:t>
      </w:r>
      <w:r w:rsidR="00747D31">
        <w:rPr>
          <w:sz w:val="24"/>
          <w:szCs w:val="24"/>
        </w:rPr>
        <w:t xml:space="preserve">suggest </w:t>
      </w:r>
      <w:r w:rsidRPr="00CD6AFA">
        <w:rPr>
          <w:sz w:val="24"/>
          <w:szCs w:val="24"/>
        </w:rPr>
        <w:t xml:space="preserve">short; not overly prescriptive; </w:t>
      </w:r>
      <w:r w:rsidR="00233F69">
        <w:rPr>
          <w:sz w:val="24"/>
          <w:szCs w:val="24"/>
        </w:rPr>
        <w:t xml:space="preserve">open rather than closed questions; </w:t>
      </w:r>
      <w:r w:rsidRPr="00CD6AFA">
        <w:rPr>
          <w:sz w:val="24"/>
          <w:szCs w:val="24"/>
        </w:rPr>
        <w:t>give experts room to have a genuine discussion about the case)</w:t>
      </w:r>
      <w:r w:rsidR="007A575C">
        <w:rPr>
          <w:sz w:val="24"/>
          <w:szCs w:val="24"/>
        </w:rPr>
        <w:t xml:space="preserve"> [</w:t>
      </w:r>
      <w:r w:rsidR="00747D31">
        <w:rPr>
          <w:sz w:val="24"/>
          <w:szCs w:val="24"/>
        </w:rPr>
        <w:t>possible style attached</w:t>
      </w:r>
      <w:r w:rsidR="005D6E48">
        <w:rPr>
          <w:sz w:val="24"/>
          <w:szCs w:val="24"/>
        </w:rPr>
        <w:t xml:space="preserve"> – no one style fits all, at least where the specific questions are concerned</w:t>
      </w:r>
      <w:r w:rsidR="00747D31">
        <w:rPr>
          <w:sz w:val="24"/>
          <w:szCs w:val="24"/>
        </w:rPr>
        <w:t>]</w:t>
      </w:r>
    </w:p>
    <w:p w14:paraId="421C1A65" w14:textId="7935A473" w:rsidR="00884156" w:rsidRDefault="008517CE" w:rsidP="00EC7F23">
      <w:pPr>
        <w:pStyle w:val="ListParagraph"/>
        <w:numPr>
          <w:ilvl w:val="1"/>
          <w:numId w:val="5"/>
        </w:numPr>
        <w:spacing w:line="360" w:lineRule="auto"/>
        <w:jc w:val="both"/>
        <w:rPr>
          <w:sz w:val="24"/>
          <w:szCs w:val="24"/>
        </w:rPr>
      </w:pPr>
      <w:r>
        <w:rPr>
          <w:sz w:val="24"/>
          <w:szCs w:val="24"/>
        </w:rPr>
        <w:t xml:space="preserve">Should </w:t>
      </w:r>
      <w:r w:rsidR="00102019">
        <w:rPr>
          <w:sz w:val="24"/>
          <w:szCs w:val="24"/>
        </w:rPr>
        <w:t>also se</w:t>
      </w:r>
      <w:r>
        <w:rPr>
          <w:sz w:val="24"/>
          <w:szCs w:val="24"/>
        </w:rPr>
        <w:t xml:space="preserve">ek to agree relevant literature (suggest that consideration also be given to seeking to agree literature/diagrams </w:t>
      </w:r>
      <w:proofErr w:type="spellStart"/>
      <w:r>
        <w:rPr>
          <w:sz w:val="24"/>
          <w:szCs w:val="24"/>
        </w:rPr>
        <w:t>etc</w:t>
      </w:r>
      <w:proofErr w:type="spellEnd"/>
      <w:r>
        <w:rPr>
          <w:sz w:val="24"/>
          <w:szCs w:val="24"/>
        </w:rPr>
        <w:t xml:space="preserve"> that provide the decision m</w:t>
      </w:r>
      <w:r w:rsidR="005D6E48">
        <w:rPr>
          <w:sz w:val="24"/>
          <w:szCs w:val="24"/>
        </w:rPr>
        <w:t>aker with an introductory “mini-</w:t>
      </w:r>
      <w:r>
        <w:rPr>
          <w:sz w:val="24"/>
          <w:szCs w:val="24"/>
        </w:rPr>
        <w:t xml:space="preserve">tutorial” on the relevant anatomy, </w:t>
      </w:r>
      <w:r w:rsidR="00D87424">
        <w:rPr>
          <w:sz w:val="24"/>
          <w:szCs w:val="24"/>
        </w:rPr>
        <w:t xml:space="preserve">condition/disease, treatment, </w:t>
      </w:r>
      <w:r>
        <w:rPr>
          <w:sz w:val="24"/>
          <w:szCs w:val="24"/>
        </w:rPr>
        <w:t xml:space="preserve">main medical terms </w:t>
      </w:r>
      <w:proofErr w:type="spellStart"/>
      <w:r>
        <w:rPr>
          <w:sz w:val="24"/>
          <w:szCs w:val="24"/>
        </w:rPr>
        <w:t>etc</w:t>
      </w:r>
      <w:proofErr w:type="spellEnd"/>
      <w:r>
        <w:rPr>
          <w:sz w:val="24"/>
          <w:szCs w:val="24"/>
        </w:rPr>
        <w:t>)</w:t>
      </w:r>
    </w:p>
    <w:p w14:paraId="68EC3093" w14:textId="0A68AB67" w:rsidR="00102019" w:rsidRDefault="00172D62" w:rsidP="00EC7F23">
      <w:pPr>
        <w:pStyle w:val="ListParagraph"/>
        <w:numPr>
          <w:ilvl w:val="1"/>
          <w:numId w:val="5"/>
        </w:numPr>
        <w:spacing w:line="360" w:lineRule="auto"/>
        <w:jc w:val="both"/>
        <w:rPr>
          <w:sz w:val="24"/>
          <w:szCs w:val="24"/>
        </w:rPr>
      </w:pPr>
      <w:r>
        <w:rPr>
          <w:sz w:val="24"/>
          <w:szCs w:val="24"/>
        </w:rPr>
        <w:t xml:space="preserve">Agree discussion </w:t>
      </w:r>
      <w:r w:rsidR="00102019">
        <w:rPr>
          <w:sz w:val="24"/>
          <w:szCs w:val="24"/>
        </w:rPr>
        <w:t xml:space="preserve">between experts to be in confidence and </w:t>
      </w:r>
      <w:r>
        <w:rPr>
          <w:sz w:val="24"/>
          <w:szCs w:val="24"/>
        </w:rPr>
        <w:t xml:space="preserve">not to be referred to </w:t>
      </w:r>
      <w:r w:rsidR="00102019">
        <w:rPr>
          <w:sz w:val="24"/>
          <w:szCs w:val="24"/>
        </w:rPr>
        <w:t xml:space="preserve">at the proof, </w:t>
      </w:r>
      <w:r>
        <w:rPr>
          <w:sz w:val="24"/>
          <w:szCs w:val="24"/>
        </w:rPr>
        <w:t xml:space="preserve">but </w:t>
      </w:r>
      <w:r w:rsidR="00102019">
        <w:rPr>
          <w:sz w:val="24"/>
          <w:szCs w:val="24"/>
        </w:rPr>
        <w:t xml:space="preserve">that experts will </w:t>
      </w:r>
      <w:r>
        <w:rPr>
          <w:sz w:val="24"/>
          <w:szCs w:val="24"/>
        </w:rPr>
        <w:t>produce a joint note</w:t>
      </w:r>
      <w:r w:rsidR="00747D31">
        <w:rPr>
          <w:sz w:val="24"/>
          <w:szCs w:val="24"/>
        </w:rPr>
        <w:t>, statement</w:t>
      </w:r>
      <w:r>
        <w:rPr>
          <w:sz w:val="24"/>
          <w:szCs w:val="24"/>
        </w:rPr>
        <w:t xml:space="preserve"> </w:t>
      </w:r>
      <w:r w:rsidR="00D87424">
        <w:rPr>
          <w:sz w:val="24"/>
          <w:szCs w:val="24"/>
        </w:rPr>
        <w:t xml:space="preserve">or report </w:t>
      </w:r>
      <w:r w:rsidR="00102019">
        <w:rPr>
          <w:sz w:val="24"/>
          <w:szCs w:val="24"/>
        </w:rPr>
        <w:t xml:space="preserve">setting out the </w:t>
      </w:r>
      <w:r>
        <w:rPr>
          <w:sz w:val="24"/>
          <w:szCs w:val="24"/>
        </w:rPr>
        <w:t>matters o</w:t>
      </w:r>
      <w:r w:rsidR="00102019">
        <w:rPr>
          <w:sz w:val="24"/>
          <w:szCs w:val="24"/>
        </w:rPr>
        <w:t>n which they agree and the matters on which they disagree (</w:t>
      </w:r>
      <w:r w:rsidR="00C47270">
        <w:rPr>
          <w:sz w:val="24"/>
          <w:szCs w:val="24"/>
        </w:rPr>
        <w:t>including their reasons for disagreement</w:t>
      </w:r>
      <w:r w:rsidR="00102019">
        <w:rPr>
          <w:sz w:val="24"/>
          <w:szCs w:val="24"/>
        </w:rPr>
        <w:t>)</w:t>
      </w:r>
    </w:p>
    <w:p w14:paraId="274A1B0C" w14:textId="28DAA9D3" w:rsidR="00753606" w:rsidRPr="00753606" w:rsidRDefault="00753606" w:rsidP="00753606">
      <w:pPr>
        <w:pStyle w:val="ListParagraph"/>
        <w:numPr>
          <w:ilvl w:val="1"/>
          <w:numId w:val="5"/>
        </w:numPr>
        <w:spacing w:line="360" w:lineRule="auto"/>
        <w:jc w:val="both"/>
        <w:rPr>
          <w:sz w:val="24"/>
          <w:szCs w:val="24"/>
        </w:rPr>
      </w:pPr>
      <w:r>
        <w:rPr>
          <w:sz w:val="24"/>
          <w:szCs w:val="24"/>
        </w:rPr>
        <w:t>Agenda prepared by which party? A draft prepared by pursuer and then subject to adjustment and agreement with the defende</w:t>
      </w:r>
      <w:r w:rsidR="00F212AB">
        <w:rPr>
          <w:sz w:val="24"/>
          <w:szCs w:val="24"/>
        </w:rPr>
        <w:t>r? What if parties can’t agree? Require t</w:t>
      </w:r>
      <w:r>
        <w:rPr>
          <w:sz w:val="24"/>
          <w:szCs w:val="24"/>
        </w:rPr>
        <w:t>wo sets of questions for experts?</w:t>
      </w:r>
    </w:p>
    <w:p w14:paraId="77B52EF9" w14:textId="07A92F34" w:rsidR="00CE3409" w:rsidRDefault="00CE3409" w:rsidP="00C47270">
      <w:pPr>
        <w:pStyle w:val="ListParagraph"/>
        <w:numPr>
          <w:ilvl w:val="0"/>
          <w:numId w:val="5"/>
        </w:numPr>
        <w:spacing w:line="360" w:lineRule="auto"/>
        <w:jc w:val="both"/>
        <w:rPr>
          <w:sz w:val="24"/>
          <w:szCs w:val="24"/>
        </w:rPr>
      </w:pPr>
      <w:r>
        <w:rPr>
          <w:sz w:val="24"/>
          <w:szCs w:val="24"/>
        </w:rPr>
        <w:t>English guidance on agendas for joint meetings of experts</w:t>
      </w:r>
      <w:r w:rsidR="009A67EC">
        <w:rPr>
          <w:rStyle w:val="FootnoteReference"/>
          <w:sz w:val="24"/>
          <w:szCs w:val="24"/>
        </w:rPr>
        <w:footnoteReference w:id="1"/>
      </w:r>
    </w:p>
    <w:p w14:paraId="2DCA378C" w14:textId="4F40D74B" w:rsidR="00CE3409" w:rsidRPr="00CE3409" w:rsidRDefault="00CE3409" w:rsidP="00CE3409">
      <w:pPr>
        <w:pStyle w:val="ListParagraph"/>
        <w:numPr>
          <w:ilvl w:val="1"/>
          <w:numId w:val="5"/>
        </w:numPr>
        <w:spacing w:line="360" w:lineRule="auto"/>
        <w:jc w:val="both"/>
        <w:rPr>
          <w:sz w:val="24"/>
          <w:szCs w:val="24"/>
        </w:rPr>
      </w:pPr>
      <w:r>
        <w:rPr>
          <w:sz w:val="24"/>
          <w:szCs w:val="24"/>
        </w:rPr>
        <w:t>Civil Procedure Rule</w:t>
      </w:r>
      <w:r w:rsidR="000323D2">
        <w:rPr>
          <w:sz w:val="24"/>
          <w:szCs w:val="24"/>
        </w:rPr>
        <w:t>s, Part</w:t>
      </w:r>
      <w:r>
        <w:rPr>
          <w:sz w:val="24"/>
          <w:szCs w:val="24"/>
        </w:rPr>
        <w:t xml:space="preserve"> 35</w:t>
      </w:r>
      <w:r w:rsidR="000323D2">
        <w:rPr>
          <w:sz w:val="24"/>
          <w:szCs w:val="24"/>
        </w:rPr>
        <w:t xml:space="preserve"> (Experts and Assessors)</w:t>
      </w:r>
      <w:r>
        <w:rPr>
          <w:sz w:val="24"/>
          <w:szCs w:val="24"/>
        </w:rPr>
        <w:t>:</w:t>
      </w:r>
      <w:r w:rsidRPr="00CE3409">
        <w:rPr>
          <w:sz w:val="24"/>
          <w:szCs w:val="24"/>
        </w:rPr>
        <w:t xml:space="preserve"> </w:t>
      </w:r>
      <w:r w:rsidR="000323D2">
        <w:rPr>
          <w:sz w:val="24"/>
          <w:szCs w:val="24"/>
        </w:rPr>
        <w:t xml:space="preserve">joint meeting of experts </w:t>
      </w:r>
      <w:r w:rsidRPr="00CE3409">
        <w:rPr>
          <w:sz w:val="24"/>
          <w:szCs w:val="24"/>
        </w:rPr>
        <w:t xml:space="preserve">not mandatory, </w:t>
      </w:r>
      <w:r w:rsidR="000323D2">
        <w:rPr>
          <w:sz w:val="24"/>
          <w:szCs w:val="24"/>
        </w:rPr>
        <w:t xml:space="preserve">is </w:t>
      </w:r>
      <w:r w:rsidRPr="00CE3409">
        <w:rPr>
          <w:sz w:val="24"/>
          <w:szCs w:val="24"/>
        </w:rPr>
        <w:t xml:space="preserve">at </w:t>
      </w:r>
      <w:r w:rsidR="000323D2">
        <w:rPr>
          <w:sz w:val="24"/>
          <w:szCs w:val="24"/>
        </w:rPr>
        <w:t xml:space="preserve">the </w:t>
      </w:r>
      <w:r w:rsidRPr="00CE3409">
        <w:rPr>
          <w:sz w:val="24"/>
          <w:szCs w:val="24"/>
        </w:rPr>
        <w:t>disc</w:t>
      </w:r>
      <w:r w:rsidR="000323D2">
        <w:rPr>
          <w:sz w:val="24"/>
          <w:szCs w:val="24"/>
        </w:rPr>
        <w:t>retion of the court; the court may direct that, following their discussion, the experts prepare a statement setting out those issues on which “they agree, and they disagree, with a summary of their reasons for disagreeing”</w:t>
      </w:r>
      <w:r w:rsidRPr="00CE3409">
        <w:rPr>
          <w:sz w:val="24"/>
          <w:szCs w:val="24"/>
        </w:rPr>
        <w:t>; the content of the discussion cannot be referred to at the trial unless parties agree; the parties are not bound by any agreement that parties reach</w:t>
      </w:r>
      <w:r w:rsidR="000323D2">
        <w:rPr>
          <w:sz w:val="24"/>
          <w:szCs w:val="24"/>
        </w:rPr>
        <w:t xml:space="preserve"> (unless parties agree to be so bound)</w:t>
      </w:r>
      <w:r w:rsidRPr="00CE3409">
        <w:rPr>
          <w:sz w:val="24"/>
          <w:szCs w:val="24"/>
        </w:rPr>
        <w:t xml:space="preserve"> </w:t>
      </w:r>
    </w:p>
    <w:p w14:paraId="7CD7EC82" w14:textId="470B7EA3" w:rsidR="00CE3409" w:rsidRDefault="00CE3409" w:rsidP="00CE3409">
      <w:pPr>
        <w:pStyle w:val="ListParagraph"/>
        <w:numPr>
          <w:ilvl w:val="1"/>
          <w:numId w:val="5"/>
        </w:numPr>
        <w:spacing w:line="360" w:lineRule="auto"/>
        <w:jc w:val="both"/>
        <w:rPr>
          <w:sz w:val="24"/>
          <w:szCs w:val="24"/>
        </w:rPr>
      </w:pPr>
      <w:r>
        <w:rPr>
          <w:sz w:val="24"/>
          <w:szCs w:val="24"/>
        </w:rPr>
        <w:t xml:space="preserve">Practice Direction 35 and Guidance for the Instruction of Experts in Civil Claims (Aug 2014): </w:t>
      </w:r>
      <w:r w:rsidR="000323D2">
        <w:rPr>
          <w:sz w:val="24"/>
          <w:szCs w:val="24"/>
        </w:rPr>
        <w:t>Part 35 is intended to limit the use of</w:t>
      </w:r>
      <w:r w:rsidR="009A67EC">
        <w:rPr>
          <w:sz w:val="24"/>
          <w:szCs w:val="24"/>
        </w:rPr>
        <w:t xml:space="preserve"> oral expert evidence to that which is reasonably required; </w:t>
      </w:r>
      <w:r w:rsidR="004A64E1">
        <w:rPr>
          <w:sz w:val="24"/>
          <w:szCs w:val="24"/>
        </w:rPr>
        <w:t xml:space="preserve">the purpose of joint meetings is not for experts to settle cases “but to agree and narrow issues”; </w:t>
      </w:r>
      <w:r w:rsidR="009A67EC">
        <w:rPr>
          <w:sz w:val="24"/>
          <w:szCs w:val="24"/>
        </w:rPr>
        <w:t>an agenda is not mandatory but, where one is necessary, parties should attempt to agree one that helps the experts focus on the issues that need to be discussed; the agenda must not be in the form of leading questions</w:t>
      </w:r>
    </w:p>
    <w:p w14:paraId="090C66B4" w14:textId="0FFD2881" w:rsidR="009A67EC" w:rsidRDefault="009A67EC" w:rsidP="00CE3409">
      <w:pPr>
        <w:pStyle w:val="ListParagraph"/>
        <w:numPr>
          <w:ilvl w:val="1"/>
          <w:numId w:val="5"/>
        </w:numPr>
        <w:spacing w:line="360" w:lineRule="auto"/>
        <w:jc w:val="both"/>
        <w:rPr>
          <w:sz w:val="24"/>
          <w:szCs w:val="24"/>
        </w:rPr>
      </w:pPr>
      <w:r w:rsidRPr="00F31839">
        <w:rPr>
          <w:i/>
          <w:sz w:val="24"/>
          <w:szCs w:val="24"/>
        </w:rPr>
        <w:t xml:space="preserve">Saunders v Manchester University </w:t>
      </w:r>
      <w:r w:rsidR="00F31839" w:rsidRPr="00F31839">
        <w:rPr>
          <w:i/>
          <w:sz w:val="24"/>
          <w:szCs w:val="24"/>
        </w:rPr>
        <w:t>Hospitals NHS Foundation Trust</w:t>
      </w:r>
      <w:r w:rsidR="00F31839">
        <w:rPr>
          <w:sz w:val="24"/>
          <w:szCs w:val="24"/>
        </w:rPr>
        <w:t xml:space="preserve"> [2018] EWHC 343 (QB), Mrs Justice Yip, </w:t>
      </w:r>
      <w:proofErr w:type="spellStart"/>
      <w:r w:rsidR="00F31839">
        <w:rPr>
          <w:sz w:val="24"/>
          <w:szCs w:val="24"/>
        </w:rPr>
        <w:t>paras</w:t>
      </w:r>
      <w:proofErr w:type="spellEnd"/>
      <w:r w:rsidR="00F31839">
        <w:rPr>
          <w:sz w:val="24"/>
          <w:szCs w:val="24"/>
        </w:rPr>
        <w:t xml:space="preserve"> 34 and 35: both parties’ expert reports were clear and easy t</w:t>
      </w:r>
      <w:r w:rsidR="00832984">
        <w:rPr>
          <w:sz w:val="24"/>
          <w:szCs w:val="24"/>
        </w:rPr>
        <w:t>o read; however, their (60 page</w:t>
      </w:r>
      <w:r w:rsidR="00F31839">
        <w:rPr>
          <w:sz w:val="24"/>
          <w:szCs w:val="24"/>
        </w:rPr>
        <w:t xml:space="preserve">) joint statement was disappointing and did not fulfil the purpose of the meeting identified in the rules “to agree and narrow issues”; the problem appears to have arisen from parties being unable to agree a single agenda and two separate agendas being put to the experts; </w:t>
      </w:r>
      <w:r w:rsidR="00F31839" w:rsidRPr="00F31839">
        <w:rPr>
          <w:i/>
          <w:sz w:val="24"/>
          <w:szCs w:val="24"/>
        </w:rPr>
        <w:t>“Sometimes less is more as far as the agenda is concerned. Parties should adopt a common sense and collaborative approach rather than allowing this stage of the litigation to become a battleground. Frankly, the approach to the joint statement in this case achieved nothing of value”</w:t>
      </w:r>
      <w:r w:rsidR="00F31839">
        <w:rPr>
          <w:sz w:val="24"/>
          <w:szCs w:val="24"/>
        </w:rPr>
        <w:t xml:space="preserve"> </w:t>
      </w:r>
    </w:p>
    <w:p w14:paraId="3D47FDA9" w14:textId="14EF0627" w:rsidR="00172D62" w:rsidRDefault="00172D62" w:rsidP="00C47270">
      <w:pPr>
        <w:pStyle w:val="ListParagraph"/>
        <w:numPr>
          <w:ilvl w:val="0"/>
          <w:numId w:val="5"/>
        </w:numPr>
        <w:spacing w:line="360" w:lineRule="auto"/>
        <w:jc w:val="both"/>
        <w:rPr>
          <w:sz w:val="24"/>
          <w:szCs w:val="24"/>
        </w:rPr>
      </w:pPr>
      <w:r>
        <w:rPr>
          <w:sz w:val="24"/>
          <w:szCs w:val="24"/>
        </w:rPr>
        <w:t>Commercial court</w:t>
      </w:r>
    </w:p>
    <w:p w14:paraId="30CBCBDA" w14:textId="5779285F" w:rsidR="00C47270" w:rsidRDefault="00C47270" w:rsidP="00C47270">
      <w:pPr>
        <w:pStyle w:val="ListParagraph"/>
        <w:numPr>
          <w:ilvl w:val="1"/>
          <w:numId w:val="5"/>
        </w:numPr>
        <w:spacing w:line="360" w:lineRule="auto"/>
        <w:jc w:val="both"/>
        <w:rPr>
          <w:sz w:val="24"/>
          <w:szCs w:val="24"/>
        </w:rPr>
      </w:pPr>
      <w:r>
        <w:rPr>
          <w:sz w:val="24"/>
          <w:szCs w:val="24"/>
        </w:rPr>
        <w:t xml:space="preserve">At the Procedural Hearing the court may: “direct that skilled </w:t>
      </w:r>
      <w:r w:rsidR="00832984">
        <w:rPr>
          <w:sz w:val="24"/>
          <w:szCs w:val="24"/>
        </w:rPr>
        <w:t xml:space="preserve">witnesses </w:t>
      </w:r>
      <w:r>
        <w:rPr>
          <w:sz w:val="24"/>
          <w:szCs w:val="24"/>
        </w:rPr>
        <w:t xml:space="preserve">should meet with a view to reaching agreement and identifying areas of disagreement, and may order them thereafter to produce a joint note, to be lodged in process … </w:t>
      </w:r>
      <w:r w:rsidRPr="00A766D9">
        <w:rPr>
          <w:sz w:val="24"/>
          <w:szCs w:val="24"/>
        </w:rPr>
        <w:t>identifying areas of agreement and disagreement, and the basis of any disagreement”</w:t>
      </w:r>
      <w:r>
        <w:rPr>
          <w:sz w:val="24"/>
          <w:szCs w:val="24"/>
        </w:rPr>
        <w:t xml:space="preserve"> (RCS 47.12(2)(h))</w:t>
      </w:r>
    </w:p>
    <w:p w14:paraId="7ABE331F" w14:textId="65B2522E" w:rsidR="00F939A7" w:rsidRDefault="00F939A7" w:rsidP="00F939A7">
      <w:pPr>
        <w:pStyle w:val="ListParagraph"/>
        <w:numPr>
          <w:ilvl w:val="0"/>
          <w:numId w:val="5"/>
        </w:numPr>
        <w:spacing w:line="360" w:lineRule="auto"/>
        <w:jc w:val="both"/>
        <w:rPr>
          <w:sz w:val="24"/>
          <w:szCs w:val="24"/>
        </w:rPr>
      </w:pPr>
      <w:r>
        <w:rPr>
          <w:sz w:val="24"/>
          <w:szCs w:val="24"/>
        </w:rPr>
        <w:t>At proof</w:t>
      </w:r>
    </w:p>
    <w:p w14:paraId="6DBC23B2" w14:textId="6A2BDE8B" w:rsidR="00F939A7" w:rsidRDefault="00F939A7" w:rsidP="00F939A7">
      <w:pPr>
        <w:pStyle w:val="ListParagraph"/>
        <w:numPr>
          <w:ilvl w:val="1"/>
          <w:numId w:val="5"/>
        </w:numPr>
        <w:spacing w:line="360" w:lineRule="auto"/>
        <w:jc w:val="both"/>
        <w:rPr>
          <w:sz w:val="24"/>
          <w:szCs w:val="24"/>
        </w:rPr>
      </w:pPr>
      <w:r>
        <w:rPr>
          <w:sz w:val="24"/>
          <w:szCs w:val="24"/>
        </w:rPr>
        <w:t>R</w:t>
      </w:r>
      <w:r w:rsidR="0097586B">
        <w:rPr>
          <w:sz w:val="24"/>
          <w:szCs w:val="24"/>
        </w:rPr>
        <w:t>eports of experts treated</w:t>
      </w:r>
      <w:r w:rsidR="00364504">
        <w:rPr>
          <w:sz w:val="24"/>
          <w:szCs w:val="24"/>
        </w:rPr>
        <w:t xml:space="preserve"> as evidence in chief?</w:t>
      </w:r>
    </w:p>
    <w:p w14:paraId="0507ABEC" w14:textId="6EB50B4E" w:rsidR="00F939A7" w:rsidRDefault="00F939A7" w:rsidP="00F939A7">
      <w:pPr>
        <w:pStyle w:val="ListParagraph"/>
        <w:numPr>
          <w:ilvl w:val="1"/>
          <w:numId w:val="5"/>
        </w:numPr>
        <w:spacing w:line="360" w:lineRule="auto"/>
        <w:jc w:val="both"/>
        <w:rPr>
          <w:sz w:val="24"/>
          <w:szCs w:val="24"/>
        </w:rPr>
      </w:pPr>
      <w:r>
        <w:rPr>
          <w:sz w:val="24"/>
          <w:szCs w:val="24"/>
        </w:rPr>
        <w:t>“H</w:t>
      </w:r>
      <w:r w:rsidR="005B5A29">
        <w:rPr>
          <w:sz w:val="24"/>
          <w:szCs w:val="24"/>
        </w:rPr>
        <w:t xml:space="preserve">ot </w:t>
      </w:r>
      <w:proofErr w:type="spellStart"/>
      <w:r w:rsidR="005B5A29">
        <w:rPr>
          <w:sz w:val="24"/>
          <w:szCs w:val="24"/>
        </w:rPr>
        <w:t>tubbing</w:t>
      </w:r>
      <w:proofErr w:type="spellEnd"/>
      <w:r w:rsidR="005B5A29">
        <w:rPr>
          <w:sz w:val="24"/>
          <w:szCs w:val="24"/>
        </w:rPr>
        <w:t>”? (</w:t>
      </w:r>
      <w:r w:rsidR="00333F05">
        <w:rPr>
          <w:sz w:val="24"/>
          <w:szCs w:val="24"/>
        </w:rPr>
        <w:t xml:space="preserve">Lord </w:t>
      </w:r>
      <w:proofErr w:type="spellStart"/>
      <w:r w:rsidR="00333F05">
        <w:rPr>
          <w:sz w:val="24"/>
          <w:szCs w:val="24"/>
        </w:rPr>
        <w:t>Woolman</w:t>
      </w:r>
      <w:proofErr w:type="spellEnd"/>
      <w:r w:rsidR="00333F05">
        <w:rPr>
          <w:sz w:val="24"/>
          <w:szCs w:val="24"/>
        </w:rPr>
        <w:t xml:space="preserve">, </w:t>
      </w:r>
      <w:r w:rsidR="00333F05" w:rsidRPr="005B5A29">
        <w:rPr>
          <w:i/>
          <w:sz w:val="24"/>
          <w:szCs w:val="24"/>
        </w:rPr>
        <w:t>SSE Generation</w:t>
      </w:r>
      <w:r w:rsidR="005B5A29" w:rsidRPr="005B5A29">
        <w:rPr>
          <w:i/>
          <w:sz w:val="24"/>
          <w:szCs w:val="24"/>
        </w:rPr>
        <w:t xml:space="preserve"> Ltd</w:t>
      </w:r>
      <w:r w:rsidR="008232B9">
        <w:rPr>
          <w:i/>
          <w:sz w:val="24"/>
          <w:szCs w:val="24"/>
        </w:rPr>
        <w:t xml:space="preserve">, supra, </w:t>
      </w:r>
      <w:r w:rsidR="005B5A29">
        <w:rPr>
          <w:sz w:val="24"/>
          <w:szCs w:val="24"/>
        </w:rPr>
        <w:t>[2016</w:t>
      </w:r>
      <w:r>
        <w:rPr>
          <w:sz w:val="24"/>
          <w:szCs w:val="24"/>
        </w:rPr>
        <w:t>]</w:t>
      </w:r>
      <w:r w:rsidR="005B5A29">
        <w:rPr>
          <w:sz w:val="24"/>
          <w:szCs w:val="24"/>
        </w:rPr>
        <w:t xml:space="preserve"> CSOH 177, </w:t>
      </w:r>
      <w:proofErr w:type="spellStart"/>
      <w:r w:rsidR="005B5A29">
        <w:rPr>
          <w:sz w:val="24"/>
          <w:szCs w:val="24"/>
        </w:rPr>
        <w:t>para</w:t>
      </w:r>
      <w:proofErr w:type="spellEnd"/>
      <w:r w:rsidR="005B5A29">
        <w:rPr>
          <w:sz w:val="24"/>
          <w:szCs w:val="24"/>
        </w:rPr>
        <w:t xml:space="preserve"> [258] – most useful where there is a narrow technical dispute and less so where there is little common ground between the parties or the level of detail is too great)</w:t>
      </w:r>
    </w:p>
    <w:p w14:paraId="762BA3B5" w14:textId="0F5EB774" w:rsidR="00F3383F" w:rsidRPr="00F3383F" w:rsidRDefault="003D192C" w:rsidP="00F3383F">
      <w:pPr>
        <w:pStyle w:val="ListParagraph"/>
        <w:numPr>
          <w:ilvl w:val="0"/>
          <w:numId w:val="5"/>
        </w:numPr>
        <w:spacing w:line="360" w:lineRule="auto"/>
        <w:jc w:val="both"/>
        <w:rPr>
          <w:b/>
          <w:sz w:val="24"/>
          <w:szCs w:val="24"/>
        </w:rPr>
      </w:pPr>
      <w:r>
        <w:rPr>
          <w:b/>
          <w:sz w:val="24"/>
          <w:szCs w:val="24"/>
        </w:rPr>
        <w:t>Conclusion/q</w:t>
      </w:r>
      <w:r w:rsidR="00F3383F" w:rsidRPr="00F3383F">
        <w:rPr>
          <w:b/>
          <w:sz w:val="24"/>
          <w:szCs w:val="24"/>
        </w:rPr>
        <w:t>uery</w:t>
      </w:r>
    </w:p>
    <w:p w14:paraId="69BA93AF" w14:textId="3BCB7206" w:rsidR="00BB06F1" w:rsidRDefault="00F3383F" w:rsidP="009D6669">
      <w:pPr>
        <w:pStyle w:val="ListParagraph"/>
        <w:numPr>
          <w:ilvl w:val="1"/>
          <w:numId w:val="5"/>
        </w:numPr>
        <w:spacing w:line="360" w:lineRule="auto"/>
        <w:jc w:val="both"/>
        <w:rPr>
          <w:sz w:val="24"/>
          <w:szCs w:val="24"/>
        </w:rPr>
      </w:pPr>
      <w:r>
        <w:rPr>
          <w:sz w:val="24"/>
          <w:szCs w:val="24"/>
        </w:rPr>
        <w:t>Is there a need for greater guidance on joint meeting of expe</w:t>
      </w:r>
      <w:r w:rsidR="00BB06F1">
        <w:rPr>
          <w:sz w:val="24"/>
          <w:szCs w:val="24"/>
        </w:rPr>
        <w:t>rts</w:t>
      </w:r>
      <w:r w:rsidR="00B0766D">
        <w:rPr>
          <w:sz w:val="24"/>
          <w:szCs w:val="24"/>
        </w:rPr>
        <w:t xml:space="preserve"> (including, perhaps, example/style agendas) to achieve a greater shared understanding and consistency of practice?</w:t>
      </w:r>
    </w:p>
    <w:p w14:paraId="49F489B1" w14:textId="0CAF08BF" w:rsidR="00A766D9" w:rsidRDefault="00A766D9" w:rsidP="009D6669">
      <w:pPr>
        <w:pStyle w:val="ListParagraph"/>
        <w:numPr>
          <w:ilvl w:val="1"/>
          <w:numId w:val="5"/>
        </w:numPr>
        <w:spacing w:line="360" w:lineRule="auto"/>
        <w:jc w:val="both"/>
        <w:rPr>
          <w:sz w:val="24"/>
          <w:szCs w:val="24"/>
        </w:rPr>
      </w:pPr>
      <w:r>
        <w:rPr>
          <w:sz w:val="24"/>
          <w:szCs w:val="24"/>
        </w:rPr>
        <w:t>Is there a need for guidance on the best means of taking the evidence of experts at proof (e.g. reports treated as evidence in chief)? Should the issue, at least, be considered at the Procedural Hearings?</w:t>
      </w:r>
    </w:p>
    <w:p w14:paraId="19D6C166" w14:textId="4C2DB5A4" w:rsidR="00CB4545" w:rsidRPr="00CB4545" w:rsidRDefault="00CB4545" w:rsidP="00CB4545">
      <w:pPr>
        <w:pStyle w:val="ListParagraph"/>
        <w:spacing w:line="360" w:lineRule="auto"/>
        <w:jc w:val="both"/>
        <w:rPr>
          <w:b/>
          <w:sz w:val="24"/>
          <w:szCs w:val="24"/>
          <w:u w:val="single"/>
        </w:rPr>
      </w:pPr>
      <w:r w:rsidRPr="00CB4545">
        <w:rPr>
          <w:b/>
          <w:sz w:val="24"/>
          <w:szCs w:val="24"/>
          <w:u w:val="single"/>
        </w:rPr>
        <w:t>New rules for advance sanction</w:t>
      </w:r>
      <w:r w:rsidR="00F227B3">
        <w:rPr>
          <w:b/>
          <w:sz w:val="24"/>
          <w:szCs w:val="24"/>
          <w:u w:val="single"/>
        </w:rPr>
        <w:t xml:space="preserve"> o</w:t>
      </w:r>
      <w:r w:rsidR="00A766D9">
        <w:rPr>
          <w:b/>
          <w:sz w:val="24"/>
          <w:szCs w:val="24"/>
          <w:u w:val="single"/>
        </w:rPr>
        <w:t>f experts (and Counsel</w:t>
      </w:r>
      <w:r w:rsidR="00F227B3">
        <w:rPr>
          <w:b/>
          <w:sz w:val="24"/>
          <w:szCs w:val="24"/>
          <w:u w:val="single"/>
        </w:rPr>
        <w:t>)</w:t>
      </w:r>
    </w:p>
    <w:p w14:paraId="794CAF4D" w14:textId="77777777" w:rsidR="004C282D" w:rsidRDefault="004C282D" w:rsidP="004C282D">
      <w:pPr>
        <w:pStyle w:val="ListParagraph"/>
        <w:numPr>
          <w:ilvl w:val="0"/>
          <w:numId w:val="1"/>
        </w:numPr>
        <w:spacing w:line="360" w:lineRule="auto"/>
        <w:jc w:val="both"/>
        <w:rPr>
          <w:sz w:val="24"/>
          <w:szCs w:val="24"/>
        </w:rPr>
      </w:pPr>
      <w:r>
        <w:rPr>
          <w:sz w:val="24"/>
          <w:szCs w:val="24"/>
        </w:rPr>
        <w:t>Expenses</w:t>
      </w:r>
    </w:p>
    <w:p w14:paraId="0DEE26D8" w14:textId="77777777" w:rsidR="004C282D" w:rsidRDefault="004C282D" w:rsidP="004C282D">
      <w:pPr>
        <w:pStyle w:val="ListParagraph"/>
        <w:numPr>
          <w:ilvl w:val="0"/>
          <w:numId w:val="4"/>
        </w:numPr>
        <w:spacing w:line="360" w:lineRule="auto"/>
        <w:jc w:val="both"/>
        <w:rPr>
          <w:sz w:val="24"/>
          <w:szCs w:val="24"/>
        </w:rPr>
      </w:pPr>
      <w:r>
        <w:rPr>
          <w:sz w:val="24"/>
          <w:szCs w:val="24"/>
        </w:rPr>
        <w:t>New rules re allowable outlays at taxation (including skilled witnesses and, in the Sheriff Court, the instruction of Counsel)</w:t>
      </w:r>
    </w:p>
    <w:p w14:paraId="0454E857" w14:textId="64B47DA1" w:rsidR="004C282D" w:rsidRDefault="004C282D" w:rsidP="004C282D">
      <w:pPr>
        <w:pStyle w:val="ListParagraph"/>
        <w:numPr>
          <w:ilvl w:val="0"/>
          <w:numId w:val="4"/>
        </w:numPr>
        <w:spacing w:line="360" w:lineRule="auto"/>
        <w:jc w:val="both"/>
        <w:rPr>
          <w:sz w:val="24"/>
          <w:szCs w:val="24"/>
        </w:rPr>
      </w:pPr>
      <w:r>
        <w:rPr>
          <w:sz w:val="24"/>
          <w:szCs w:val="24"/>
        </w:rPr>
        <w:t xml:space="preserve">Act of </w:t>
      </w:r>
      <w:proofErr w:type="spellStart"/>
      <w:r>
        <w:rPr>
          <w:sz w:val="24"/>
          <w:szCs w:val="24"/>
        </w:rPr>
        <w:t>Sederunt</w:t>
      </w:r>
      <w:proofErr w:type="spellEnd"/>
      <w:r>
        <w:rPr>
          <w:sz w:val="24"/>
          <w:szCs w:val="24"/>
        </w:rPr>
        <w:t xml:space="preserve"> (Taxation of Judicial Expenses Rules)</w:t>
      </w:r>
      <w:r w:rsidR="00586E93">
        <w:rPr>
          <w:sz w:val="24"/>
          <w:szCs w:val="24"/>
        </w:rPr>
        <w:t xml:space="preserve"> 2019 (SSI 75/2019) (applies to </w:t>
      </w:r>
      <w:r>
        <w:rPr>
          <w:sz w:val="24"/>
          <w:szCs w:val="24"/>
        </w:rPr>
        <w:t xml:space="preserve">actions raised </w:t>
      </w:r>
      <w:r w:rsidR="00B9471A">
        <w:rPr>
          <w:sz w:val="24"/>
          <w:szCs w:val="24"/>
        </w:rPr>
        <w:t xml:space="preserve">on or </w:t>
      </w:r>
      <w:r>
        <w:rPr>
          <w:sz w:val="24"/>
          <w:szCs w:val="24"/>
        </w:rPr>
        <w:t>after 29 April 2019) (s</w:t>
      </w:r>
      <w:r w:rsidR="00586E93">
        <w:rPr>
          <w:sz w:val="24"/>
          <w:szCs w:val="24"/>
        </w:rPr>
        <w:t xml:space="preserve">ee, in particular, rules 4.5, </w:t>
      </w:r>
      <w:r>
        <w:rPr>
          <w:sz w:val="24"/>
          <w:szCs w:val="24"/>
        </w:rPr>
        <w:t>5.1, 5.3 and 5.4)</w:t>
      </w:r>
    </w:p>
    <w:p w14:paraId="48620A1A" w14:textId="5F804C7B" w:rsidR="004C282D" w:rsidRDefault="004C282D" w:rsidP="004C282D">
      <w:pPr>
        <w:pStyle w:val="ListParagraph"/>
        <w:numPr>
          <w:ilvl w:val="0"/>
          <w:numId w:val="4"/>
        </w:numPr>
        <w:spacing w:line="360" w:lineRule="auto"/>
        <w:jc w:val="both"/>
        <w:rPr>
          <w:sz w:val="24"/>
          <w:szCs w:val="24"/>
        </w:rPr>
      </w:pPr>
      <w:r>
        <w:rPr>
          <w:sz w:val="24"/>
          <w:szCs w:val="24"/>
        </w:rPr>
        <w:t>For chapter 42A Court of Session actions (but not chapter 43 actions) there is a requirement to obtain sanction for experts in advance of the</w:t>
      </w:r>
      <w:r w:rsidR="00586E93">
        <w:rPr>
          <w:sz w:val="24"/>
          <w:szCs w:val="24"/>
        </w:rPr>
        <w:t xml:space="preserve"> work being carried out </w:t>
      </w:r>
      <w:r>
        <w:rPr>
          <w:sz w:val="24"/>
          <w:szCs w:val="24"/>
        </w:rPr>
        <w:t>(the court may allow retrospective sanction on cause shown)</w:t>
      </w:r>
    </w:p>
    <w:p w14:paraId="742A5FA2" w14:textId="0694C5D9" w:rsidR="004C282D" w:rsidRDefault="004C282D" w:rsidP="004C282D">
      <w:pPr>
        <w:pStyle w:val="ListParagraph"/>
        <w:numPr>
          <w:ilvl w:val="0"/>
          <w:numId w:val="4"/>
        </w:numPr>
        <w:spacing w:line="360" w:lineRule="auto"/>
        <w:jc w:val="both"/>
        <w:rPr>
          <w:sz w:val="24"/>
          <w:szCs w:val="24"/>
        </w:rPr>
      </w:pPr>
      <w:r>
        <w:rPr>
          <w:sz w:val="24"/>
          <w:szCs w:val="24"/>
        </w:rPr>
        <w:t xml:space="preserve">The same requirement for advance sanction applies to the instruction of experts in chapter 36A </w:t>
      </w:r>
      <w:r w:rsidR="00586E93">
        <w:rPr>
          <w:sz w:val="24"/>
          <w:szCs w:val="24"/>
        </w:rPr>
        <w:t xml:space="preserve">OCR </w:t>
      </w:r>
      <w:r>
        <w:rPr>
          <w:sz w:val="24"/>
          <w:szCs w:val="24"/>
        </w:rPr>
        <w:t xml:space="preserve">Sheriff Court actions (but not in chapter 36 </w:t>
      </w:r>
      <w:r w:rsidR="00586E93">
        <w:rPr>
          <w:sz w:val="24"/>
          <w:szCs w:val="24"/>
        </w:rPr>
        <w:t xml:space="preserve">OCR </w:t>
      </w:r>
      <w:r>
        <w:rPr>
          <w:sz w:val="24"/>
          <w:szCs w:val="24"/>
        </w:rPr>
        <w:t xml:space="preserve">actions) </w:t>
      </w:r>
    </w:p>
    <w:p w14:paraId="18A3C20A" w14:textId="2E3D948B" w:rsidR="004C282D" w:rsidRDefault="004C282D" w:rsidP="004C282D">
      <w:pPr>
        <w:pStyle w:val="ListParagraph"/>
        <w:numPr>
          <w:ilvl w:val="0"/>
          <w:numId w:val="4"/>
        </w:numPr>
        <w:spacing w:line="360" w:lineRule="auto"/>
        <w:jc w:val="both"/>
        <w:rPr>
          <w:sz w:val="24"/>
          <w:szCs w:val="24"/>
        </w:rPr>
      </w:pPr>
      <w:r>
        <w:rPr>
          <w:sz w:val="24"/>
          <w:szCs w:val="24"/>
        </w:rPr>
        <w:t xml:space="preserve">For chapter 36A </w:t>
      </w:r>
      <w:r w:rsidR="00586E93">
        <w:rPr>
          <w:sz w:val="24"/>
          <w:szCs w:val="24"/>
        </w:rPr>
        <w:t xml:space="preserve">OCR </w:t>
      </w:r>
      <w:r>
        <w:rPr>
          <w:sz w:val="24"/>
          <w:szCs w:val="24"/>
        </w:rPr>
        <w:t xml:space="preserve">Sheriff Court actions (but not chapter 36 </w:t>
      </w:r>
      <w:r w:rsidR="00586E93">
        <w:rPr>
          <w:sz w:val="24"/>
          <w:szCs w:val="24"/>
        </w:rPr>
        <w:t xml:space="preserve">OCR </w:t>
      </w:r>
      <w:r>
        <w:rPr>
          <w:sz w:val="24"/>
          <w:szCs w:val="24"/>
        </w:rPr>
        <w:t>actions) there is a need to obtain sanction for the instruction of Counsel in advance of the work being carried out (again, with the possibility of retrospective sanction on cause shown)</w:t>
      </w:r>
    </w:p>
    <w:p w14:paraId="5D57BA98" w14:textId="77777777" w:rsidR="004C282D" w:rsidRDefault="004C282D" w:rsidP="004C282D">
      <w:pPr>
        <w:pStyle w:val="ListParagraph"/>
        <w:numPr>
          <w:ilvl w:val="0"/>
          <w:numId w:val="4"/>
        </w:numPr>
        <w:spacing w:line="360" w:lineRule="auto"/>
        <w:jc w:val="both"/>
        <w:rPr>
          <w:sz w:val="24"/>
          <w:szCs w:val="24"/>
        </w:rPr>
      </w:pPr>
      <w:r>
        <w:rPr>
          <w:sz w:val="24"/>
          <w:szCs w:val="24"/>
        </w:rPr>
        <w:t>What is the rationale for these changes to the rules? (</w:t>
      </w:r>
      <w:proofErr w:type="gramStart"/>
      <w:r>
        <w:rPr>
          <w:sz w:val="24"/>
          <w:szCs w:val="24"/>
        </w:rPr>
        <w:t>possibly</w:t>
      </w:r>
      <w:proofErr w:type="gramEnd"/>
      <w:r>
        <w:rPr>
          <w:sz w:val="24"/>
          <w:szCs w:val="24"/>
        </w:rPr>
        <w:t>, related to the Taylor reforms and the Civil Litigation (Expenses and Group Proceedings) (S) Act 2018?)</w:t>
      </w:r>
    </w:p>
    <w:p w14:paraId="0CC5C37F" w14:textId="0E26617F" w:rsidR="004C282D" w:rsidRDefault="004C282D" w:rsidP="004C282D">
      <w:pPr>
        <w:pStyle w:val="ListParagraph"/>
        <w:numPr>
          <w:ilvl w:val="0"/>
          <w:numId w:val="4"/>
        </w:numPr>
        <w:spacing w:line="360" w:lineRule="auto"/>
        <w:jc w:val="both"/>
        <w:rPr>
          <w:sz w:val="24"/>
          <w:szCs w:val="24"/>
        </w:rPr>
      </w:pPr>
      <w:r>
        <w:rPr>
          <w:sz w:val="24"/>
          <w:szCs w:val="24"/>
        </w:rPr>
        <w:t xml:space="preserve">See Note by Lady Carmichael in </w:t>
      </w:r>
      <w:r w:rsidRPr="00D84C91">
        <w:rPr>
          <w:i/>
          <w:sz w:val="24"/>
          <w:szCs w:val="24"/>
        </w:rPr>
        <w:t>Davidson v Grampian Health Board</w:t>
      </w:r>
      <w:r>
        <w:rPr>
          <w:sz w:val="24"/>
          <w:szCs w:val="24"/>
        </w:rPr>
        <w:t>, 24 May 2019 (</w:t>
      </w:r>
      <w:r w:rsidR="00094373">
        <w:rPr>
          <w:sz w:val="24"/>
          <w:szCs w:val="24"/>
        </w:rPr>
        <w:t xml:space="preserve">a motion before calling seeking authority per RCS 43.1A to raise as an ordinary action and, under the new Act of </w:t>
      </w:r>
      <w:proofErr w:type="spellStart"/>
      <w:r w:rsidR="00094373">
        <w:rPr>
          <w:sz w:val="24"/>
          <w:szCs w:val="24"/>
        </w:rPr>
        <w:t>Sederunt</w:t>
      </w:r>
      <w:proofErr w:type="spellEnd"/>
      <w:r w:rsidR="00094373">
        <w:rPr>
          <w:sz w:val="24"/>
          <w:szCs w:val="24"/>
        </w:rPr>
        <w:t xml:space="preserve">, for retrospective and prospective </w:t>
      </w:r>
      <w:r>
        <w:rPr>
          <w:sz w:val="24"/>
          <w:szCs w:val="24"/>
        </w:rPr>
        <w:t>certification of skilled witnesses)</w:t>
      </w:r>
    </w:p>
    <w:p w14:paraId="68C76839" w14:textId="549D432C" w:rsidR="008F0839" w:rsidRPr="008F0839" w:rsidRDefault="00430ACB" w:rsidP="008F0839">
      <w:pPr>
        <w:pStyle w:val="ListParagraph"/>
        <w:numPr>
          <w:ilvl w:val="0"/>
          <w:numId w:val="4"/>
        </w:numPr>
        <w:spacing w:line="360" w:lineRule="auto"/>
        <w:jc w:val="both"/>
        <w:rPr>
          <w:b/>
          <w:sz w:val="24"/>
          <w:szCs w:val="24"/>
        </w:rPr>
      </w:pPr>
      <w:r>
        <w:rPr>
          <w:b/>
          <w:sz w:val="24"/>
          <w:szCs w:val="24"/>
        </w:rPr>
        <w:t>Conclusion/q</w:t>
      </w:r>
      <w:r w:rsidR="008F0839" w:rsidRPr="008F0839">
        <w:rPr>
          <w:b/>
          <w:sz w:val="24"/>
          <w:szCs w:val="24"/>
        </w:rPr>
        <w:t>uery</w:t>
      </w:r>
    </w:p>
    <w:p w14:paraId="3026D556" w14:textId="6C0EAC51" w:rsidR="00430ACB" w:rsidRPr="00430ACB" w:rsidRDefault="00430ACB" w:rsidP="00430ACB">
      <w:pPr>
        <w:pStyle w:val="ListParagraph"/>
        <w:numPr>
          <w:ilvl w:val="1"/>
          <w:numId w:val="4"/>
        </w:numPr>
        <w:spacing w:line="360" w:lineRule="auto"/>
        <w:jc w:val="both"/>
        <w:rPr>
          <w:sz w:val="24"/>
          <w:szCs w:val="24"/>
        </w:rPr>
      </w:pPr>
      <w:r>
        <w:rPr>
          <w:sz w:val="24"/>
          <w:szCs w:val="24"/>
        </w:rPr>
        <w:t>The rules appear to introduce unnecessary and unhelpful additional complexity</w:t>
      </w:r>
    </w:p>
    <w:p w14:paraId="291FF6DF" w14:textId="7F294E17" w:rsidR="008F0839" w:rsidRDefault="008F0839" w:rsidP="008F0839">
      <w:pPr>
        <w:pStyle w:val="ListParagraph"/>
        <w:numPr>
          <w:ilvl w:val="1"/>
          <w:numId w:val="4"/>
        </w:numPr>
        <w:spacing w:line="360" w:lineRule="auto"/>
        <w:jc w:val="both"/>
        <w:rPr>
          <w:sz w:val="24"/>
          <w:szCs w:val="24"/>
        </w:rPr>
      </w:pPr>
      <w:r>
        <w:rPr>
          <w:sz w:val="24"/>
          <w:szCs w:val="24"/>
        </w:rPr>
        <w:t>Was there adequate consultation with PI practitioners before these rules were introduced?</w:t>
      </w:r>
    </w:p>
    <w:p w14:paraId="2E4CB52A" w14:textId="2AE81549" w:rsidR="008F0839" w:rsidRPr="008F0839" w:rsidRDefault="008F0839" w:rsidP="008F0839">
      <w:pPr>
        <w:pStyle w:val="ListParagraph"/>
        <w:numPr>
          <w:ilvl w:val="1"/>
          <w:numId w:val="4"/>
        </w:numPr>
        <w:spacing w:line="360" w:lineRule="auto"/>
        <w:jc w:val="both"/>
        <w:rPr>
          <w:sz w:val="24"/>
          <w:szCs w:val="24"/>
        </w:rPr>
      </w:pPr>
      <w:r>
        <w:rPr>
          <w:sz w:val="24"/>
          <w:szCs w:val="24"/>
        </w:rPr>
        <w:t>Query whether the previous position should be re-instated (i.e. sanction sought at end of cases, once the work has been done and a more informed view can be taken on whether it was reasonable to instruct the experts and/or Counsel)</w:t>
      </w:r>
    </w:p>
    <w:p w14:paraId="7176FF5A" w14:textId="7D2F2510" w:rsidR="00094373" w:rsidRPr="00094373" w:rsidRDefault="00094373" w:rsidP="00094373">
      <w:pPr>
        <w:pStyle w:val="ListParagraph"/>
        <w:spacing w:line="360" w:lineRule="auto"/>
        <w:jc w:val="both"/>
        <w:rPr>
          <w:b/>
          <w:sz w:val="24"/>
          <w:szCs w:val="24"/>
          <w:u w:val="single"/>
        </w:rPr>
      </w:pPr>
      <w:r w:rsidRPr="00094373">
        <w:rPr>
          <w:b/>
          <w:sz w:val="24"/>
          <w:szCs w:val="24"/>
          <w:u w:val="single"/>
        </w:rPr>
        <w:t>Miscellaneous Procedural Issues</w:t>
      </w:r>
    </w:p>
    <w:p w14:paraId="7FF932EE" w14:textId="77777777" w:rsidR="00FD0681" w:rsidRDefault="00FD0681" w:rsidP="00EC7F23">
      <w:pPr>
        <w:pStyle w:val="ListParagraph"/>
        <w:numPr>
          <w:ilvl w:val="0"/>
          <w:numId w:val="1"/>
        </w:numPr>
        <w:spacing w:line="360" w:lineRule="auto"/>
        <w:jc w:val="both"/>
        <w:rPr>
          <w:sz w:val="24"/>
          <w:szCs w:val="24"/>
        </w:rPr>
      </w:pPr>
      <w:r>
        <w:rPr>
          <w:sz w:val="24"/>
          <w:szCs w:val="24"/>
        </w:rPr>
        <w:t>Hearings</w:t>
      </w:r>
    </w:p>
    <w:p w14:paraId="1623C0E3" w14:textId="77777777" w:rsidR="00FD0681" w:rsidRDefault="00FD0681" w:rsidP="00EC7F23">
      <w:pPr>
        <w:pStyle w:val="ListParagraph"/>
        <w:numPr>
          <w:ilvl w:val="0"/>
          <w:numId w:val="7"/>
        </w:numPr>
        <w:spacing w:line="360" w:lineRule="auto"/>
        <w:jc w:val="both"/>
        <w:rPr>
          <w:sz w:val="24"/>
          <w:szCs w:val="24"/>
        </w:rPr>
      </w:pPr>
      <w:r>
        <w:rPr>
          <w:sz w:val="24"/>
          <w:szCs w:val="24"/>
        </w:rPr>
        <w:t>By Order (Adjustment) Roll (no later than 7 days after Record has closed)</w:t>
      </w:r>
    </w:p>
    <w:p w14:paraId="74AB71A5" w14:textId="77777777" w:rsidR="00FD0681" w:rsidRDefault="00FD0681" w:rsidP="00EC7F23">
      <w:pPr>
        <w:pStyle w:val="ListParagraph"/>
        <w:numPr>
          <w:ilvl w:val="1"/>
          <w:numId w:val="7"/>
        </w:numPr>
        <w:spacing w:line="360" w:lineRule="auto"/>
        <w:jc w:val="both"/>
        <w:rPr>
          <w:sz w:val="24"/>
          <w:szCs w:val="24"/>
        </w:rPr>
      </w:pPr>
      <w:r>
        <w:rPr>
          <w:sz w:val="24"/>
          <w:szCs w:val="24"/>
        </w:rPr>
        <w:t xml:space="preserve">Written Statement of Proposals for Further Procedure </w:t>
      </w:r>
    </w:p>
    <w:p w14:paraId="7033B515" w14:textId="77777777" w:rsidR="00FD0681" w:rsidRDefault="00FD0681" w:rsidP="00EC7F23">
      <w:pPr>
        <w:pStyle w:val="ListParagraph"/>
        <w:numPr>
          <w:ilvl w:val="1"/>
          <w:numId w:val="7"/>
        </w:numPr>
        <w:spacing w:line="360" w:lineRule="auto"/>
        <w:jc w:val="both"/>
        <w:rPr>
          <w:sz w:val="24"/>
          <w:szCs w:val="24"/>
        </w:rPr>
      </w:pPr>
      <w:r>
        <w:rPr>
          <w:sz w:val="24"/>
          <w:szCs w:val="24"/>
        </w:rPr>
        <w:t xml:space="preserve">Lord </w:t>
      </w:r>
      <w:proofErr w:type="spellStart"/>
      <w:r>
        <w:rPr>
          <w:sz w:val="24"/>
          <w:szCs w:val="24"/>
        </w:rPr>
        <w:t>Ord</w:t>
      </w:r>
      <w:proofErr w:type="spellEnd"/>
      <w:r>
        <w:rPr>
          <w:sz w:val="24"/>
          <w:szCs w:val="24"/>
        </w:rPr>
        <w:t xml:space="preserve"> to hear from parties with a view to ascertaining (a) the matters in dispute and (b) readiness to proceed to proof, including on matters (1) to (22) [checklist]</w:t>
      </w:r>
    </w:p>
    <w:p w14:paraId="0AB6E76F" w14:textId="77777777" w:rsidR="00FD0681" w:rsidRDefault="00FD0681" w:rsidP="00EC7F23">
      <w:pPr>
        <w:pStyle w:val="ListParagraph"/>
        <w:numPr>
          <w:ilvl w:val="1"/>
          <w:numId w:val="7"/>
        </w:numPr>
        <w:spacing w:line="360" w:lineRule="auto"/>
        <w:jc w:val="both"/>
        <w:rPr>
          <w:sz w:val="24"/>
          <w:szCs w:val="24"/>
        </w:rPr>
      </w:pPr>
      <w:r>
        <w:rPr>
          <w:sz w:val="24"/>
          <w:szCs w:val="24"/>
        </w:rPr>
        <w:t xml:space="preserve">An opportunity for parties to seek further information/notice, make calls </w:t>
      </w:r>
      <w:proofErr w:type="spellStart"/>
      <w:r>
        <w:rPr>
          <w:sz w:val="24"/>
          <w:szCs w:val="24"/>
        </w:rPr>
        <w:t>etc</w:t>
      </w:r>
      <w:proofErr w:type="spellEnd"/>
    </w:p>
    <w:p w14:paraId="25D94A18" w14:textId="77777777" w:rsidR="00FD0681" w:rsidRDefault="00FD0681" w:rsidP="00EC7F23">
      <w:pPr>
        <w:pStyle w:val="ListParagraph"/>
        <w:numPr>
          <w:ilvl w:val="0"/>
          <w:numId w:val="7"/>
        </w:numPr>
        <w:spacing w:line="360" w:lineRule="auto"/>
        <w:jc w:val="both"/>
        <w:rPr>
          <w:sz w:val="24"/>
          <w:szCs w:val="24"/>
        </w:rPr>
      </w:pPr>
      <w:r>
        <w:rPr>
          <w:sz w:val="24"/>
          <w:szCs w:val="24"/>
        </w:rPr>
        <w:t>(</w:t>
      </w:r>
      <w:proofErr w:type="gramStart"/>
      <w:r>
        <w:rPr>
          <w:sz w:val="24"/>
          <w:szCs w:val="24"/>
        </w:rPr>
        <w:t>may</w:t>
      </w:r>
      <w:proofErr w:type="gramEnd"/>
      <w:r>
        <w:rPr>
          <w:sz w:val="24"/>
          <w:szCs w:val="24"/>
        </w:rPr>
        <w:t xml:space="preserve"> seek a further hearing on the By Order (Adjustment) Roll)</w:t>
      </w:r>
    </w:p>
    <w:p w14:paraId="1BFC3A1C" w14:textId="77777777" w:rsidR="00FD0681" w:rsidRDefault="00FD0681" w:rsidP="00EC7F23">
      <w:pPr>
        <w:pStyle w:val="ListParagraph"/>
        <w:numPr>
          <w:ilvl w:val="1"/>
          <w:numId w:val="7"/>
        </w:numPr>
        <w:spacing w:line="360" w:lineRule="auto"/>
        <w:jc w:val="both"/>
        <w:rPr>
          <w:sz w:val="24"/>
          <w:szCs w:val="24"/>
        </w:rPr>
      </w:pPr>
      <w:proofErr w:type="gramStart"/>
      <w:r>
        <w:rPr>
          <w:sz w:val="24"/>
          <w:szCs w:val="24"/>
        </w:rPr>
        <w:t>worth</w:t>
      </w:r>
      <w:proofErr w:type="gramEnd"/>
      <w:r>
        <w:rPr>
          <w:sz w:val="24"/>
          <w:szCs w:val="24"/>
        </w:rPr>
        <w:t xml:space="preserve"> considering if there are o/s matters and if there is likely to be a significant delay before the next calling of the case (i.e. the procedural hearing circa 6 months before the proof)</w:t>
      </w:r>
    </w:p>
    <w:p w14:paraId="364E1146" w14:textId="77777777" w:rsidR="00FD0681" w:rsidRDefault="00FD0681" w:rsidP="00EC7F23">
      <w:pPr>
        <w:pStyle w:val="ListParagraph"/>
        <w:numPr>
          <w:ilvl w:val="0"/>
          <w:numId w:val="7"/>
        </w:numPr>
        <w:spacing w:line="360" w:lineRule="auto"/>
        <w:jc w:val="both"/>
        <w:rPr>
          <w:sz w:val="24"/>
          <w:szCs w:val="24"/>
        </w:rPr>
      </w:pPr>
      <w:r>
        <w:rPr>
          <w:sz w:val="24"/>
          <w:szCs w:val="24"/>
        </w:rPr>
        <w:t>Procedural hearing (no later than 6 months before the proof)</w:t>
      </w:r>
    </w:p>
    <w:p w14:paraId="757DA55C" w14:textId="143FDEE4" w:rsidR="00FD0681" w:rsidRPr="00FD0681" w:rsidRDefault="00FD0681" w:rsidP="00EC7F23">
      <w:pPr>
        <w:pStyle w:val="ListParagraph"/>
        <w:numPr>
          <w:ilvl w:val="0"/>
          <w:numId w:val="7"/>
        </w:numPr>
        <w:spacing w:line="360" w:lineRule="auto"/>
        <w:jc w:val="both"/>
        <w:rPr>
          <w:sz w:val="24"/>
          <w:szCs w:val="24"/>
        </w:rPr>
      </w:pPr>
      <w:r>
        <w:rPr>
          <w:sz w:val="24"/>
          <w:szCs w:val="24"/>
        </w:rPr>
        <w:t>Further procedural hearing (no later than 2 months before the proof)</w:t>
      </w:r>
    </w:p>
    <w:p w14:paraId="3E16B0C4" w14:textId="77777777" w:rsidR="007B4456" w:rsidRDefault="007B4456" w:rsidP="00EC7F23">
      <w:pPr>
        <w:pStyle w:val="ListParagraph"/>
        <w:numPr>
          <w:ilvl w:val="0"/>
          <w:numId w:val="1"/>
        </w:numPr>
        <w:spacing w:line="360" w:lineRule="auto"/>
        <w:jc w:val="both"/>
        <w:rPr>
          <w:sz w:val="24"/>
          <w:szCs w:val="24"/>
        </w:rPr>
      </w:pPr>
      <w:r>
        <w:rPr>
          <w:sz w:val="24"/>
          <w:szCs w:val="24"/>
        </w:rPr>
        <w:t>Notices to Admit</w:t>
      </w:r>
    </w:p>
    <w:p w14:paraId="078825C0" w14:textId="77777777" w:rsidR="007B4456" w:rsidRDefault="007B4456" w:rsidP="00EC7F23">
      <w:pPr>
        <w:pStyle w:val="ListParagraph"/>
        <w:numPr>
          <w:ilvl w:val="0"/>
          <w:numId w:val="2"/>
        </w:numPr>
        <w:spacing w:line="360" w:lineRule="auto"/>
        <w:jc w:val="both"/>
        <w:rPr>
          <w:sz w:val="24"/>
          <w:szCs w:val="24"/>
        </w:rPr>
      </w:pPr>
      <w:r>
        <w:rPr>
          <w:sz w:val="24"/>
          <w:szCs w:val="24"/>
        </w:rPr>
        <w:t>Once Record closes – check if there are averments that ought to be admitted (part of Note on Line)</w:t>
      </w:r>
    </w:p>
    <w:p w14:paraId="0D1CE25D" w14:textId="77777777" w:rsidR="007B4456" w:rsidRDefault="007B4456" w:rsidP="00EC7F23">
      <w:pPr>
        <w:pStyle w:val="ListParagraph"/>
        <w:numPr>
          <w:ilvl w:val="0"/>
          <w:numId w:val="2"/>
        </w:numPr>
        <w:spacing w:line="360" w:lineRule="auto"/>
        <w:jc w:val="both"/>
        <w:rPr>
          <w:sz w:val="24"/>
          <w:szCs w:val="24"/>
        </w:rPr>
      </w:pPr>
      <w:r>
        <w:rPr>
          <w:sz w:val="24"/>
          <w:szCs w:val="24"/>
        </w:rPr>
        <w:t>Possible to agree that a statement from a witness is equivalent to their oral evidence?</w:t>
      </w:r>
    </w:p>
    <w:p w14:paraId="2824B253" w14:textId="77777777" w:rsidR="007B4456" w:rsidRDefault="007B4456" w:rsidP="00EC7F23">
      <w:pPr>
        <w:pStyle w:val="ListParagraph"/>
        <w:numPr>
          <w:ilvl w:val="0"/>
          <w:numId w:val="2"/>
        </w:numPr>
        <w:spacing w:line="360" w:lineRule="auto"/>
        <w:jc w:val="both"/>
        <w:rPr>
          <w:sz w:val="24"/>
          <w:szCs w:val="24"/>
        </w:rPr>
      </w:pPr>
      <w:r>
        <w:rPr>
          <w:sz w:val="24"/>
          <w:szCs w:val="24"/>
        </w:rPr>
        <w:t>Earnings information (and other components of heads of claim)</w:t>
      </w:r>
    </w:p>
    <w:p w14:paraId="22D9D7E5" w14:textId="77777777" w:rsidR="007B4456" w:rsidRDefault="007B4456" w:rsidP="00EC7F23">
      <w:pPr>
        <w:pStyle w:val="ListParagraph"/>
        <w:numPr>
          <w:ilvl w:val="0"/>
          <w:numId w:val="2"/>
        </w:numPr>
        <w:spacing w:line="360" w:lineRule="auto"/>
        <w:jc w:val="both"/>
        <w:rPr>
          <w:sz w:val="24"/>
          <w:szCs w:val="24"/>
        </w:rPr>
      </w:pPr>
      <w:r>
        <w:rPr>
          <w:sz w:val="24"/>
          <w:szCs w:val="24"/>
        </w:rPr>
        <w:t xml:space="preserve">Productions </w:t>
      </w:r>
    </w:p>
    <w:p w14:paraId="58A069C3" w14:textId="7FF83304" w:rsidR="007B4456" w:rsidRPr="007B4456" w:rsidRDefault="007B4456" w:rsidP="00EC7F23">
      <w:pPr>
        <w:pStyle w:val="ListParagraph"/>
        <w:numPr>
          <w:ilvl w:val="0"/>
          <w:numId w:val="2"/>
        </w:numPr>
        <w:spacing w:line="360" w:lineRule="auto"/>
        <w:jc w:val="both"/>
        <w:rPr>
          <w:sz w:val="24"/>
          <w:szCs w:val="24"/>
        </w:rPr>
      </w:pPr>
      <w:r>
        <w:rPr>
          <w:sz w:val="24"/>
          <w:szCs w:val="24"/>
        </w:rPr>
        <w:t>Can be converted to a Joint Minute of Admissions if not happy with particular wording in NOA</w:t>
      </w:r>
    </w:p>
    <w:p w14:paraId="7564A862" w14:textId="4FE2D6D4" w:rsidR="007513CA" w:rsidRDefault="007513CA" w:rsidP="00EC7F23">
      <w:pPr>
        <w:pStyle w:val="ListParagraph"/>
        <w:numPr>
          <w:ilvl w:val="0"/>
          <w:numId w:val="1"/>
        </w:numPr>
        <w:spacing w:line="360" w:lineRule="auto"/>
        <w:jc w:val="both"/>
        <w:rPr>
          <w:sz w:val="24"/>
          <w:szCs w:val="24"/>
        </w:rPr>
      </w:pPr>
      <w:r>
        <w:rPr>
          <w:sz w:val="24"/>
          <w:szCs w:val="24"/>
        </w:rPr>
        <w:t>Productions</w:t>
      </w:r>
    </w:p>
    <w:p w14:paraId="74C0B41F" w14:textId="77777777" w:rsidR="008322E8" w:rsidRDefault="007513CA" w:rsidP="008322E8">
      <w:pPr>
        <w:pStyle w:val="ListParagraph"/>
        <w:numPr>
          <w:ilvl w:val="0"/>
          <w:numId w:val="13"/>
        </w:numPr>
        <w:spacing w:line="360" w:lineRule="auto"/>
        <w:jc w:val="both"/>
        <w:rPr>
          <w:sz w:val="24"/>
          <w:szCs w:val="24"/>
        </w:rPr>
      </w:pPr>
      <w:r w:rsidRPr="008322E8">
        <w:rPr>
          <w:sz w:val="24"/>
          <w:szCs w:val="24"/>
        </w:rPr>
        <w:t>Paginated</w:t>
      </w:r>
    </w:p>
    <w:p w14:paraId="4C586984" w14:textId="5316C272" w:rsidR="007513CA" w:rsidRDefault="007513CA" w:rsidP="008322E8">
      <w:pPr>
        <w:pStyle w:val="ListParagraph"/>
        <w:numPr>
          <w:ilvl w:val="0"/>
          <w:numId w:val="13"/>
        </w:numPr>
        <w:spacing w:line="360" w:lineRule="auto"/>
        <w:jc w:val="both"/>
        <w:rPr>
          <w:sz w:val="24"/>
          <w:szCs w:val="24"/>
        </w:rPr>
      </w:pPr>
      <w:r w:rsidRPr="008322E8">
        <w:rPr>
          <w:sz w:val="24"/>
          <w:szCs w:val="24"/>
        </w:rPr>
        <w:t xml:space="preserve"> </w:t>
      </w:r>
      <w:r w:rsidR="00431E9B" w:rsidRPr="008322E8">
        <w:rPr>
          <w:sz w:val="24"/>
          <w:szCs w:val="24"/>
        </w:rPr>
        <w:t>E</w:t>
      </w:r>
      <w:r w:rsidRPr="008322E8">
        <w:rPr>
          <w:sz w:val="24"/>
          <w:szCs w:val="24"/>
        </w:rPr>
        <w:t>lectronic</w:t>
      </w:r>
      <w:r w:rsidR="00431E9B" w:rsidRPr="008322E8">
        <w:rPr>
          <w:sz w:val="24"/>
          <w:szCs w:val="24"/>
        </w:rPr>
        <w:t xml:space="preserve"> format (c.f. in Commercial actions, productions need only be lodged in electronic format – PN 1/2017, </w:t>
      </w:r>
      <w:proofErr w:type="spellStart"/>
      <w:r w:rsidR="00431E9B" w:rsidRPr="008322E8">
        <w:rPr>
          <w:sz w:val="24"/>
          <w:szCs w:val="24"/>
        </w:rPr>
        <w:t>para</w:t>
      </w:r>
      <w:proofErr w:type="spellEnd"/>
      <w:r w:rsidR="00431E9B" w:rsidRPr="008322E8">
        <w:rPr>
          <w:sz w:val="24"/>
          <w:szCs w:val="24"/>
        </w:rPr>
        <w:t xml:space="preserve"> 25)</w:t>
      </w:r>
    </w:p>
    <w:p w14:paraId="09FC8B7E" w14:textId="0FB2DF5F" w:rsidR="007513CA" w:rsidRDefault="007513CA" w:rsidP="008322E8">
      <w:pPr>
        <w:pStyle w:val="ListParagraph"/>
        <w:numPr>
          <w:ilvl w:val="0"/>
          <w:numId w:val="13"/>
        </w:numPr>
        <w:spacing w:line="360" w:lineRule="auto"/>
        <w:jc w:val="both"/>
        <w:rPr>
          <w:sz w:val="24"/>
          <w:szCs w:val="24"/>
        </w:rPr>
      </w:pPr>
      <w:r w:rsidRPr="008322E8">
        <w:rPr>
          <w:sz w:val="24"/>
          <w:szCs w:val="24"/>
        </w:rPr>
        <w:t>A join</w:t>
      </w:r>
      <w:r w:rsidR="00894CE5" w:rsidRPr="008322E8">
        <w:rPr>
          <w:sz w:val="24"/>
          <w:szCs w:val="24"/>
        </w:rPr>
        <w:t xml:space="preserve">t bundle of productions (for second or more hearings on </w:t>
      </w:r>
      <w:r w:rsidRPr="008322E8">
        <w:rPr>
          <w:sz w:val="24"/>
          <w:szCs w:val="24"/>
        </w:rPr>
        <w:t xml:space="preserve">the By Order (A) Roll hearing – PN 6/2017, </w:t>
      </w:r>
      <w:proofErr w:type="spellStart"/>
      <w:r w:rsidRPr="008322E8">
        <w:rPr>
          <w:sz w:val="24"/>
          <w:szCs w:val="24"/>
        </w:rPr>
        <w:t>para</w:t>
      </w:r>
      <w:proofErr w:type="spellEnd"/>
      <w:r w:rsidRPr="008322E8">
        <w:rPr>
          <w:sz w:val="24"/>
          <w:szCs w:val="24"/>
        </w:rPr>
        <w:t xml:space="preserve"> 14)</w:t>
      </w:r>
    </w:p>
    <w:p w14:paraId="41F66D01" w14:textId="16851E00" w:rsidR="007513CA" w:rsidRDefault="007513CA" w:rsidP="008322E8">
      <w:pPr>
        <w:pStyle w:val="ListParagraph"/>
        <w:numPr>
          <w:ilvl w:val="0"/>
          <w:numId w:val="13"/>
        </w:numPr>
        <w:spacing w:line="360" w:lineRule="auto"/>
        <w:jc w:val="both"/>
        <w:rPr>
          <w:sz w:val="24"/>
          <w:szCs w:val="24"/>
        </w:rPr>
      </w:pPr>
      <w:r w:rsidRPr="008322E8">
        <w:rPr>
          <w:sz w:val="24"/>
          <w:szCs w:val="24"/>
        </w:rPr>
        <w:t>Where productions are over 500 pages, a core bundle (a</w:t>
      </w:r>
      <w:r w:rsidR="00894CE5" w:rsidRPr="008322E8">
        <w:rPr>
          <w:sz w:val="24"/>
          <w:szCs w:val="24"/>
        </w:rPr>
        <w:t xml:space="preserve">s above and </w:t>
      </w:r>
      <w:proofErr w:type="spellStart"/>
      <w:r w:rsidR="00894CE5" w:rsidRPr="008322E8">
        <w:rPr>
          <w:sz w:val="24"/>
          <w:szCs w:val="24"/>
        </w:rPr>
        <w:t>paras</w:t>
      </w:r>
      <w:proofErr w:type="spellEnd"/>
      <w:r w:rsidR="00894CE5" w:rsidRPr="008322E8">
        <w:rPr>
          <w:sz w:val="24"/>
          <w:szCs w:val="24"/>
        </w:rPr>
        <w:t xml:space="preserve"> 28-30</w:t>
      </w:r>
      <w:r w:rsidRPr="008322E8">
        <w:rPr>
          <w:sz w:val="24"/>
          <w:szCs w:val="24"/>
        </w:rPr>
        <w:t>)</w:t>
      </w:r>
    </w:p>
    <w:p w14:paraId="553F4F69" w14:textId="506FAB2A" w:rsidR="00862381" w:rsidRDefault="007513CA" w:rsidP="008322E8">
      <w:pPr>
        <w:pStyle w:val="ListParagraph"/>
        <w:numPr>
          <w:ilvl w:val="0"/>
          <w:numId w:val="13"/>
        </w:numPr>
        <w:spacing w:line="360" w:lineRule="auto"/>
        <w:jc w:val="both"/>
        <w:rPr>
          <w:sz w:val="24"/>
          <w:szCs w:val="24"/>
        </w:rPr>
      </w:pPr>
      <w:r w:rsidRPr="008322E8">
        <w:rPr>
          <w:sz w:val="24"/>
          <w:szCs w:val="24"/>
        </w:rPr>
        <w:t xml:space="preserve">A </w:t>
      </w:r>
      <w:r w:rsidR="00F4617E" w:rsidRPr="008322E8">
        <w:rPr>
          <w:sz w:val="24"/>
          <w:szCs w:val="24"/>
        </w:rPr>
        <w:t>p</w:t>
      </w:r>
      <w:r w:rsidR="00862381" w:rsidRPr="008322E8">
        <w:rPr>
          <w:sz w:val="24"/>
          <w:szCs w:val="24"/>
        </w:rPr>
        <w:t xml:space="preserve">aginated joint </w:t>
      </w:r>
      <w:r w:rsidR="00DB3BA5" w:rsidRPr="008322E8">
        <w:rPr>
          <w:sz w:val="24"/>
          <w:szCs w:val="24"/>
        </w:rPr>
        <w:t xml:space="preserve">bundle of medical records </w:t>
      </w:r>
      <w:r w:rsidR="00F4617E" w:rsidRPr="008322E8">
        <w:rPr>
          <w:sz w:val="24"/>
          <w:szCs w:val="24"/>
        </w:rPr>
        <w:t>(n</w:t>
      </w:r>
      <w:r w:rsidR="00862381" w:rsidRPr="008322E8">
        <w:rPr>
          <w:sz w:val="24"/>
          <w:szCs w:val="24"/>
        </w:rPr>
        <w:t>o later than 4 months before the proof</w:t>
      </w:r>
      <w:r w:rsidR="00F4617E" w:rsidRPr="008322E8">
        <w:rPr>
          <w:sz w:val="24"/>
          <w:szCs w:val="24"/>
        </w:rPr>
        <w:t xml:space="preserve"> – RCS 42A-5(1)(c)) </w:t>
      </w:r>
    </w:p>
    <w:p w14:paraId="7A5FC7E0" w14:textId="77777777" w:rsidR="008322E8" w:rsidRPr="008905F0" w:rsidRDefault="008322E8" w:rsidP="008322E8">
      <w:pPr>
        <w:pStyle w:val="ListParagraph"/>
        <w:numPr>
          <w:ilvl w:val="0"/>
          <w:numId w:val="13"/>
        </w:numPr>
        <w:spacing w:line="360" w:lineRule="auto"/>
        <w:jc w:val="both"/>
        <w:rPr>
          <w:b/>
          <w:sz w:val="24"/>
          <w:szCs w:val="24"/>
        </w:rPr>
      </w:pPr>
      <w:r w:rsidRPr="008905F0">
        <w:rPr>
          <w:b/>
          <w:sz w:val="24"/>
          <w:szCs w:val="24"/>
        </w:rPr>
        <w:t>Conclusion/q</w:t>
      </w:r>
      <w:r w:rsidR="008B1BC7" w:rsidRPr="008905F0">
        <w:rPr>
          <w:b/>
          <w:sz w:val="24"/>
          <w:szCs w:val="24"/>
        </w:rPr>
        <w:t>uery</w:t>
      </w:r>
    </w:p>
    <w:p w14:paraId="24E37748" w14:textId="32C92CCC" w:rsidR="008322E8" w:rsidRDefault="008322E8" w:rsidP="008322E8">
      <w:pPr>
        <w:pStyle w:val="ListParagraph"/>
        <w:numPr>
          <w:ilvl w:val="1"/>
          <w:numId w:val="13"/>
        </w:numPr>
        <w:spacing w:line="360" w:lineRule="auto"/>
        <w:jc w:val="both"/>
        <w:rPr>
          <w:sz w:val="24"/>
          <w:szCs w:val="24"/>
        </w:rPr>
      </w:pPr>
      <w:r>
        <w:rPr>
          <w:sz w:val="24"/>
          <w:szCs w:val="24"/>
        </w:rPr>
        <w:t>Should there simply be a requirement to consider whether a core bundle would be helpful c.f. a requirement for a core bundle in every case?</w:t>
      </w:r>
    </w:p>
    <w:p w14:paraId="524F406F" w14:textId="49278475" w:rsidR="008B1BC7" w:rsidRDefault="008322E8" w:rsidP="008322E8">
      <w:pPr>
        <w:pStyle w:val="ListParagraph"/>
        <w:numPr>
          <w:ilvl w:val="1"/>
          <w:numId w:val="13"/>
        </w:numPr>
        <w:spacing w:line="360" w:lineRule="auto"/>
        <w:jc w:val="both"/>
        <w:rPr>
          <w:sz w:val="24"/>
          <w:szCs w:val="24"/>
        </w:rPr>
      </w:pPr>
      <w:r>
        <w:rPr>
          <w:sz w:val="24"/>
          <w:szCs w:val="24"/>
        </w:rPr>
        <w:t xml:space="preserve">Should there be a requirement for parties to consider lodging an agreed </w:t>
      </w:r>
      <w:r w:rsidR="0044383F" w:rsidRPr="008322E8">
        <w:rPr>
          <w:sz w:val="24"/>
          <w:szCs w:val="24"/>
        </w:rPr>
        <w:t>c</w:t>
      </w:r>
      <w:r w:rsidR="008905F0">
        <w:rPr>
          <w:sz w:val="24"/>
          <w:szCs w:val="24"/>
        </w:rPr>
        <w:t>hronology</w:t>
      </w:r>
      <w:r w:rsidR="008B1BC7" w:rsidRPr="008322E8">
        <w:rPr>
          <w:sz w:val="24"/>
          <w:szCs w:val="24"/>
        </w:rPr>
        <w:t>? (</w:t>
      </w:r>
      <w:proofErr w:type="gramStart"/>
      <w:r w:rsidR="008B1BC7" w:rsidRPr="008322E8">
        <w:rPr>
          <w:sz w:val="24"/>
          <w:szCs w:val="24"/>
        </w:rPr>
        <w:t>i</w:t>
      </w:r>
      <w:proofErr w:type="gramEnd"/>
      <w:r w:rsidR="008B1BC7" w:rsidRPr="008322E8">
        <w:rPr>
          <w:sz w:val="24"/>
          <w:szCs w:val="24"/>
        </w:rPr>
        <w:t>.e. setting out what medical treatment was received and when, with reference</w:t>
      </w:r>
      <w:r w:rsidR="00431E9B" w:rsidRPr="008322E8">
        <w:rPr>
          <w:sz w:val="24"/>
          <w:szCs w:val="24"/>
        </w:rPr>
        <w:t>s</w:t>
      </w:r>
      <w:r w:rsidR="008B1BC7" w:rsidRPr="008322E8">
        <w:rPr>
          <w:sz w:val="24"/>
          <w:szCs w:val="24"/>
        </w:rPr>
        <w:t xml:space="preserve"> to the </w:t>
      </w:r>
      <w:r w:rsidR="00431E9B" w:rsidRPr="008322E8">
        <w:rPr>
          <w:sz w:val="24"/>
          <w:szCs w:val="24"/>
        </w:rPr>
        <w:t>page and production numbers) (NB</w:t>
      </w:r>
      <w:r w:rsidR="008B1BC7" w:rsidRPr="008322E8">
        <w:rPr>
          <w:sz w:val="24"/>
          <w:szCs w:val="24"/>
        </w:rPr>
        <w:t xml:space="preserve"> observation of Lord </w:t>
      </w:r>
      <w:proofErr w:type="spellStart"/>
      <w:r w:rsidR="008B1BC7" w:rsidRPr="008322E8">
        <w:rPr>
          <w:sz w:val="24"/>
          <w:szCs w:val="24"/>
        </w:rPr>
        <w:t>Woolman</w:t>
      </w:r>
      <w:proofErr w:type="spellEnd"/>
      <w:r w:rsidR="008B1BC7" w:rsidRPr="008322E8">
        <w:rPr>
          <w:sz w:val="24"/>
          <w:szCs w:val="24"/>
        </w:rPr>
        <w:t xml:space="preserve"> in </w:t>
      </w:r>
      <w:r w:rsidR="00431E9B" w:rsidRPr="008322E8">
        <w:rPr>
          <w:i/>
          <w:sz w:val="24"/>
          <w:szCs w:val="24"/>
        </w:rPr>
        <w:t>SSE Generation Ltd</w:t>
      </w:r>
      <w:r w:rsidR="008B1BC7" w:rsidRPr="008322E8">
        <w:rPr>
          <w:sz w:val="24"/>
          <w:szCs w:val="24"/>
        </w:rPr>
        <w:t xml:space="preserve">, </w:t>
      </w:r>
      <w:proofErr w:type="spellStart"/>
      <w:r w:rsidR="008B1BC7" w:rsidRPr="008322E8">
        <w:rPr>
          <w:sz w:val="24"/>
          <w:szCs w:val="24"/>
        </w:rPr>
        <w:t>para</w:t>
      </w:r>
      <w:proofErr w:type="spellEnd"/>
      <w:r w:rsidR="008B1BC7" w:rsidRPr="008322E8">
        <w:rPr>
          <w:sz w:val="24"/>
          <w:szCs w:val="24"/>
        </w:rPr>
        <w:t xml:space="preserve"> [255]</w:t>
      </w:r>
      <w:r w:rsidR="00431E9B" w:rsidRPr="008322E8">
        <w:rPr>
          <w:sz w:val="24"/>
          <w:szCs w:val="24"/>
        </w:rPr>
        <w:t xml:space="preserve">, “It is </w:t>
      </w:r>
      <w:r w:rsidR="00FB73EE" w:rsidRPr="008322E8">
        <w:rPr>
          <w:sz w:val="24"/>
          <w:szCs w:val="24"/>
        </w:rPr>
        <w:t>unfortunate that parties were unable to narrow the scope of the proof by entering into a joint minute of agreement. An agreed chronology and an agreed list of issues would also have been helpful”.</w:t>
      </w:r>
      <w:r w:rsidR="008B1BC7" w:rsidRPr="008322E8">
        <w:rPr>
          <w:sz w:val="24"/>
          <w:szCs w:val="24"/>
        </w:rPr>
        <w:t>)</w:t>
      </w:r>
    </w:p>
    <w:p w14:paraId="3074DAE4" w14:textId="77777777" w:rsidR="00421CC0" w:rsidRDefault="00421CC0" w:rsidP="00421CC0">
      <w:pPr>
        <w:spacing w:line="360" w:lineRule="auto"/>
        <w:jc w:val="both"/>
        <w:rPr>
          <w:sz w:val="24"/>
          <w:szCs w:val="24"/>
        </w:rPr>
      </w:pPr>
    </w:p>
    <w:p w14:paraId="4D33C7A9" w14:textId="77777777" w:rsidR="00421CC0" w:rsidRPr="00421CC0" w:rsidRDefault="00421CC0" w:rsidP="00421CC0">
      <w:pPr>
        <w:spacing w:line="360" w:lineRule="auto"/>
        <w:jc w:val="both"/>
        <w:rPr>
          <w:sz w:val="24"/>
          <w:szCs w:val="24"/>
        </w:rPr>
      </w:pPr>
    </w:p>
    <w:p w14:paraId="0D399AB3" w14:textId="75F08F34" w:rsidR="008322E8" w:rsidRPr="008322E8" w:rsidRDefault="008322E8" w:rsidP="008322E8">
      <w:pPr>
        <w:pStyle w:val="ListParagraph"/>
        <w:spacing w:line="360" w:lineRule="auto"/>
        <w:jc w:val="both"/>
        <w:rPr>
          <w:b/>
          <w:sz w:val="24"/>
          <w:szCs w:val="24"/>
          <w:u w:val="single"/>
        </w:rPr>
      </w:pPr>
      <w:r w:rsidRPr="008322E8">
        <w:rPr>
          <w:b/>
          <w:sz w:val="24"/>
          <w:szCs w:val="24"/>
          <w:u w:val="single"/>
        </w:rPr>
        <w:t>Feedback</w:t>
      </w:r>
    </w:p>
    <w:p w14:paraId="645B3082" w14:textId="3307313C" w:rsidR="00195375" w:rsidRDefault="00195375" w:rsidP="00EC7F23">
      <w:pPr>
        <w:pStyle w:val="ListParagraph"/>
        <w:numPr>
          <w:ilvl w:val="0"/>
          <w:numId w:val="1"/>
        </w:numPr>
        <w:spacing w:line="360" w:lineRule="auto"/>
        <w:jc w:val="both"/>
        <w:rPr>
          <w:sz w:val="24"/>
          <w:szCs w:val="24"/>
        </w:rPr>
      </w:pPr>
      <w:r>
        <w:rPr>
          <w:sz w:val="24"/>
          <w:szCs w:val="24"/>
        </w:rPr>
        <w:t>Working Groups</w:t>
      </w:r>
    </w:p>
    <w:p w14:paraId="79D299BC" w14:textId="4015FC0A" w:rsidR="00195375" w:rsidRDefault="00195375" w:rsidP="00195375">
      <w:pPr>
        <w:pStyle w:val="ListParagraph"/>
        <w:numPr>
          <w:ilvl w:val="0"/>
          <w:numId w:val="11"/>
        </w:numPr>
        <w:spacing w:line="360" w:lineRule="auto"/>
        <w:jc w:val="both"/>
        <w:rPr>
          <w:sz w:val="24"/>
          <w:szCs w:val="24"/>
        </w:rPr>
      </w:pPr>
      <w:r w:rsidRPr="00195375">
        <w:rPr>
          <w:sz w:val="24"/>
          <w:szCs w:val="24"/>
        </w:rPr>
        <w:t>The Scottish Civil Justice Council (SCJC)</w:t>
      </w:r>
    </w:p>
    <w:p w14:paraId="1F60BAD5" w14:textId="77777777" w:rsidR="00195375" w:rsidRDefault="00195375" w:rsidP="00195375">
      <w:pPr>
        <w:pStyle w:val="ListParagraph"/>
        <w:numPr>
          <w:ilvl w:val="1"/>
          <w:numId w:val="11"/>
        </w:numPr>
        <w:spacing w:line="360" w:lineRule="auto"/>
        <w:jc w:val="both"/>
        <w:rPr>
          <w:sz w:val="24"/>
          <w:szCs w:val="24"/>
        </w:rPr>
      </w:pPr>
      <w:r w:rsidRPr="00195375">
        <w:rPr>
          <w:sz w:val="24"/>
          <w:szCs w:val="24"/>
        </w:rPr>
        <w:t>Personal Injury Committee (minutes on SCJC website)</w:t>
      </w:r>
    </w:p>
    <w:p w14:paraId="5CEC48D5" w14:textId="68BAA654" w:rsidR="00195375" w:rsidRDefault="00195375" w:rsidP="00195375">
      <w:pPr>
        <w:pStyle w:val="ListParagraph"/>
        <w:numPr>
          <w:ilvl w:val="1"/>
          <w:numId w:val="11"/>
        </w:numPr>
        <w:spacing w:line="360" w:lineRule="auto"/>
        <w:jc w:val="both"/>
        <w:rPr>
          <w:sz w:val="24"/>
          <w:szCs w:val="24"/>
        </w:rPr>
      </w:pPr>
      <w:r w:rsidRPr="00195375">
        <w:rPr>
          <w:sz w:val="24"/>
          <w:szCs w:val="24"/>
        </w:rPr>
        <w:t>A sub-group of the Personal Injury Committee</w:t>
      </w:r>
      <w:r w:rsidR="00702949">
        <w:rPr>
          <w:sz w:val="24"/>
          <w:szCs w:val="24"/>
        </w:rPr>
        <w:t xml:space="preserve"> (led by Maria Maguire Q.C. and including Amber Galbraith, Advocate)</w:t>
      </w:r>
      <w:r w:rsidRPr="00195375">
        <w:rPr>
          <w:sz w:val="24"/>
          <w:szCs w:val="24"/>
        </w:rPr>
        <w:t xml:space="preserve"> is currently considering amendment to chapter 42A of the RCS and an amended Practice Note (and whether it would also be appropriate for the equivalent Sheriff Court Rules to be amended)</w:t>
      </w:r>
    </w:p>
    <w:p w14:paraId="6FB2E9D8" w14:textId="03C33143" w:rsidR="00195375" w:rsidRDefault="00195375" w:rsidP="00195375">
      <w:pPr>
        <w:pStyle w:val="ListParagraph"/>
        <w:numPr>
          <w:ilvl w:val="1"/>
          <w:numId w:val="11"/>
        </w:numPr>
        <w:spacing w:line="360" w:lineRule="auto"/>
        <w:jc w:val="both"/>
        <w:rPr>
          <w:sz w:val="24"/>
          <w:szCs w:val="24"/>
        </w:rPr>
      </w:pPr>
      <w:r w:rsidRPr="00195375">
        <w:rPr>
          <w:sz w:val="24"/>
          <w:szCs w:val="24"/>
        </w:rPr>
        <w:t>Consideration currently being given to</w:t>
      </w:r>
      <w:r w:rsidR="00702949">
        <w:rPr>
          <w:sz w:val="24"/>
          <w:szCs w:val="24"/>
        </w:rPr>
        <w:t>:</w:t>
      </w:r>
      <w:r w:rsidRPr="00195375">
        <w:rPr>
          <w:sz w:val="24"/>
          <w:szCs w:val="24"/>
        </w:rPr>
        <w:t xml:space="preserve"> a clinical negligence pre-action protocol</w:t>
      </w:r>
      <w:r w:rsidR="00702949">
        <w:rPr>
          <w:sz w:val="24"/>
          <w:szCs w:val="24"/>
        </w:rPr>
        <w:t xml:space="preserve">; a proposed Act of </w:t>
      </w:r>
      <w:proofErr w:type="spellStart"/>
      <w:r w:rsidR="00702949">
        <w:rPr>
          <w:sz w:val="24"/>
          <w:szCs w:val="24"/>
        </w:rPr>
        <w:t>Sederunt</w:t>
      </w:r>
      <w:proofErr w:type="spellEnd"/>
      <w:r w:rsidR="00702949">
        <w:rPr>
          <w:sz w:val="24"/>
          <w:szCs w:val="24"/>
        </w:rPr>
        <w:t xml:space="preserve"> re Qualified One Way Costs Shifting</w:t>
      </w:r>
    </w:p>
    <w:p w14:paraId="3DC1F4D6" w14:textId="1DD82DA6" w:rsidR="00195375" w:rsidRDefault="00195375" w:rsidP="00195375">
      <w:pPr>
        <w:pStyle w:val="ListParagraph"/>
        <w:numPr>
          <w:ilvl w:val="1"/>
          <w:numId w:val="11"/>
        </w:numPr>
        <w:spacing w:line="360" w:lineRule="auto"/>
        <w:jc w:val="both"/>
        <w:rPr>
          <w:sz w:val="24"/>
          <w:szCs w:val="24"/>
        </w:rPr>
      </w:pPr>
      <w:r w:rsidRPr="00195375">
        <w:rPr>
          <w:sz w:val="24"/>
          <w:szCs w:val="24"/>
        </w:rPr>
        <w:t xml:space="preserve">Feedback is welcome  - </w:t>
      </w:r>
      <w:hyperlink r:id="rId8" w:history="1">
        <w:r w:rsidRPr="00451939">
          <w:rPr>
            <w:rStyle w:val="Hyperlink"/>
            <w:sz w:val="24"/>
            <w:szCs w:val="24"/>
          </w:rPr>
          <w:t>scjc@scotcourts.gov.uk</w:t>
        </w:r>
      </w:hyperlink>
    </w:p>
    <w:p w14:paraId="54DA88D6" w14:textId="177292D6" w:rsidR="00195375" w:rsidRDefault="00195375" w:rsidP="00195375">
      <w:pPr>
        <w:pStyle w:val="ListParagraph"/>
        <w:numPr>
          <w:ilvl w:val="0"/>
          <w:numId w:val="11"/>
        </w:numPr>
        <w:spacing w:line="360" w:lineRule="auto"/>
        <w:jc w:val="both"/>
        <w:rPr>
          <w:sz w:val="24"/>
          <w:szCs w:val="24"/>
        </w:rPr>
      </w:pPr>
      <w:r>
        <w:rPr>
          <w:sz w:val="24"/>
          <w:szCs w:val="24"/>
        </w:rPr>
        <w:t>C</w:t>
      </w:r>
      <w:r w:rsidRPr="00195375">
        <w:rPr>
          <w:sz w:val="24"/>
          <w:szCs w:val="24"/>
        </w:rPr>
        <w:t>ourt of Session Personal Injury User Group</w:t>
      </w:r>
    </w:p>
    <w:p w14:paraId="21F4BF2E" w14:textId="7B49C6A6" w:rsidR="00D5138F" w:rsidRPr="00D5138F" w:rsidRDefault="00195375" w:rsidP="00D5138F">
      <w:pPr>
        <w:pStyle w:val="ListParagraph"/>
        <w:numPr>
          <w:ilvl w:val="0"/>
          <w:numId w:val="11"/>
        </w:numPr>
        <w:spacing w:line="360" w:lineRule="auto"/>
        <w:jc w:val="both"/>
        <w:rPr>
          <w:sz w:val="24"/>
          <w:szCs w:val="24"/>
        </w:rPr>
      </w:pPr>
      <w:r>
        <w:rPr>
          <w:sz w:val="24"/>
          <w:szCs w:val="24"/>
        </w:rPr>
        <w:t>A</w:t>
      </w:r>
      <w:r w:rsidRPr="00195375">
        <w:rPr>
          <w:sz w:val="24"/>
          <w:szCs w:val="24"/>
        </w:rPr>
        <w:t>ll Scotland Personal Injury Court User Group</w:t>
      </w:r>
      <w:r w:rsidR="00D5138F">
        <w:rPr>
          <w:sz w:val="24"/>
          <w:szCs w:val="24"/>
        </w:rPr>
        <w:t xml:space="preserve"> – NationalPICourt@scotcourts.gov.uk</w:t>
      </w:r>
    </w:p>
    <w:p w14:paraId="4DED829A" w14:textId="460989D6" w:rsidR="00884156" w:rsidRDefault="00635063" w:rsidP="00EC7F23">
      <w:pPr>
        <w:pStyle w:val="ListParagraph"/>
        <w:numPr>
          <w:ilvl w:val="0"/>
          <w:numId w:val="1"/>
        </w:numPr>
        <w:spacing w:line="360" w:lineRule="auto"/>
        <w:jc w:val="both"/>
        <w:rPr>
          <w:sz w:val="24"/>
          <w:szCs w:val="24"/>
        </w:rPr>
      </w:pPr>
      <w:r>
        <w:rPr>
          <w:sz w:val="24"/>
          <w:szCs w:val="24"/>
        </w:rPr>
        <w:t>Conclusion</w:t>
      </w:r>
    </w:p>
    <w:p w14:paraId="270CF2CB" w14:textId="347FE26A" w:rsidR="00D07828" w:rsidRPr="008322E8" w:rsidRDefault="00514B97" w:rsidP="008322E8">
      <w:pPr>
        <w:pStyle w:val="ListParagraph"/>
        <w:numPr>
          <w:ilvl w:val="0"/>
          <w:numId w:val="4"/>
        </w:numPr>
        <w:spacing w:line="360" w:lineRule="auto"/>
        <w:jc w:val="both"/>
        <w:rPr>
          <w:sz w:val="24"/>
          <w:szCs w:val="24"/>
        </w:rPr>
      </w:pPr>
      <w:r>
        <w:rPr>
          <w:sz w:val="24"/>
          <w:szCs w:val="24"/>
        </w:rPr>
        <w:t>The rules work reasonably well but</w:t>
      </w:r>
      <w:r w:rsidR="008322E8">
        <w:rPr>
          <w:sz w:val="24"/>
          <w:szCs w:val="24"/>
        </w:rPr>
        <w:t xml:space="preserve"> t</w:t>
      </w:r>
      <w:r w:rsidRPr="008322E8">
        <w:rPr>
          <w:sz w:val="24"/>
          <w:szCs w:val="24"/>
        </w:rPr>
        <w:t>here is always room for improvement</w:t>
      </w:r>
      <w:r w:rsidR="00E32D22">
        <w:rPr>
          <w:sz w:val="24"/>
          <w:szCs w:val="24"/>
        </w:rPr>
        <w:t xml:space="preserve"> and, I suggest, a greater consistency of practice</w:t>
      </w:r>
    </w:p>
    <w:p w14:paraId="1A8DEB1A" w14:textId="120ED785" w:rsidR="00FB4C5F" w:rsidRDefault="00195375" w:rsidP="00195375">
      <w:pPr>
        <w:pStyle w:val="ListParagraph"/>
        <w:numPr>
          <w:ilvl w:val="0"/>
          <w:numId w:val="4"/>
        </w:numPr>
        <w:spacing w:line="360" w:lineRule="auto"/>
        <w:jc w:val="both"/>
        <w:rPr>
          <w:sz w:val="24"/>
          <w:szCs w:val="24"/>
        </w:rPr>
      </w:pPr>
      <w:r>
        <w:rPr>
          <w:sz w:val="24"/>
          <w:szCs w:val="24"/>
        </w:rPr>
        <w:t xml:space="preserve">There is a need for </w:t>
      </w:r>
      <w:r w:rsidR="00905197">
        <w:rPr>
          <w:sz w:val="24"/>
          <w:szCs w:val="24"/>
        </w:rPr>
        <w:t>“</w:t>
      </w:r>
      <w:r>
        <w:rPr>
          <w:sz w:val="24"/>
          <w:szCs w:val="24"/>
        </w:rPr>
        <w:t>o</w:t>
      </w:r>
      <w:r w:rsidR="00905197">
        <w:rPr>
          <w:sz w:val="24"/>
          <w:szCs w:val="24"/>
        </w:rPr>
        <w:t>pen loop” decision making</w:t>
      </w:r>
      <w:r w:rsidR="00036215">
        <w:rPr>
          <w:sz w:val="24"/>
          <w:szCs w:val="24"/>
        </w:rPr>
        <w:t xml:space="preserve"> i.e. with </w:t>
      </w:r>
      <w:r w:rsidR="00AF6974">
        <w:rPr>
          <w:sz w:val="24"/>
          <w:szCs w:val="24"/>
        </w:rPr>
        <w:t xml:space="preserve">practitioners’ </w:t>
      </w:r>
      <w:r w:rsidR="00036215">
        <w:rPr>
          <w:sz w:val="24"/>
          <w:szCs w:val="24"/>
        </w:rPr>
        <w:t xml:space="preserve">experience of what works and what doesn’t </w:t>
      </w:r>
      <w:r w:rsidR="00920F17">
        <w:rPr>
          <w:sz w:val="24"/>
          <w:szCs w:val="24"/>
        </w:rPr>
        <w:t xml:space="preserve">work </w:t>
      </w:r>
      <w:r w:rsidR="00036215">
        <w:rPr>
          <w:sz w:val="24"/>
          <w:szCs w:val="24"/>
        </w:rPr>
        <w:t>be</w:t>
      </w:r>
      <w:r w:rsidR="00920F17">
        <w:rPr>
          <w:sz w:val="24"/>
          <w:szCs w:val="24"/>
        </w:rPr>
        <w:t xml:space="preserve">ing </w:t>
      </w:r>
      <w:r w:rsidR="00036215">
        <w:rPr>
          <w:sz w:val="24"/>
          <w:szCs w:val="24"/>
        </w:rPr>
        <w:t>fed back into</w:t>
      </w:r>
      <w:r w:rsidR="008322E8">
        <w:rPr>
          <w:sz w:val="24"/>
          <w:szCs w:val="24"/>
        </w:rPr>
        <w:t xml:space="preserve"> the various working groups and</w:t>
      </w:r>
      <w:r w:rsidR="008748C3">
        <w:rPr>
          <w:sz w:val="24"/>
          <w:szCs w:val="24"/>
        </w:rPr>
        <w:t xml:space="preserve"> rule making </w:t>
      </w:r>
      <w:r w:rsidR="00036215">
        <w:rPr>
          <w:sz w:val="24"/>
          <w:szCs w:val="24"/>
        </w:rPr>
        <w:t>bodies</w:t>
      </w:r>
      <w:r w:rsidR="008219BA">
        <w:rPr>
          <w:sz w:val="24"/>
          <w:szCs w:val="24"/>
        </w:rPr>
        <w:t xml:space="preserve"> and I would encourage everyone</w:t>
      </w:r>
      <w:r w:rsidR="00AB40CA">
        <w:rPr>
          <w:sz w:val="24"/>
          <w:szCs w:val="24"/>
        </w:rPr>
        <w:t xml:space="preserve"> to do so!</w:t>
      </w:r>
    </w:p>
    <w:p w14:paraId="6D95F9C7" w14:textId="77777777" w:rsidR="00FB4F01" w:rsidRDefault="00FB4F01" w:rsidP="00FB4F01">
      <w:pPr>
        <w:spacing w:line="360" w:lineRule="auto"/>
        <w:jc w:val="both"/>
        <w:rPr>
          <w:sz w:val="24"/>
          <w:szCs w:val="24"/>
        </w:rPr>
      </w:pPr>
    </w:p>
    <w:p w14:paraId="0838676F" w14:textId="77777777" w:rsidR="00FB4F01" w:rsidRDefault="00FB4F01" w:rsidP="00FB4F01">
      <w:pPr>
        <w:spacing w:line="360" w:lineRule="auto"/>
        <w:jc w:val="both"/>
        <w:rPr>
          <w:sz w:val="24"/>
          <w:szCs w:val="24"/>
        </w:rPr>
      </w:pPr>
    </w:p>
    <w:p w14:paraId="76E4D2C8" w14:textId="77777777" w:rsidR="00FB4F01" w:rsidRDefault="00FB4F01" w:rsidP="00FB4F01">
      <w:pPr>
        <w:spacing w:line="360" w:lineRule="auto"/>
        <w:jc w:val="both"/>
        <w:rPr>
          <w:sz w:val="24"/>
          <w:szCs w:val="24"/>
        </w:rPr>
      </w:pPr>
    </w:p>
    <w:p w14:paraId="43772B1B" w14:textId="77777777" w:rsidR="00FB4F01" w:rsidRDefault="00FB4F01" w:rsidP="00FB4F01">
      <w:pPr>
        <w:spacing w:line="360" w:lineRule="auto"/>
        <w:jc w:val="both"/>
        <w:rPr>
          <w:sz w:val="24"/>
          <w:szCs w:val="24"/>
        </w:rPr>
      </w:pPr>
    </w:p>
    <w:p w14:paraId="4DBD8CBD" w14:textId="77777777" w:rsidR="00FB4F01" w:rsidRDefault="00FB4F01" w:rsidP="00FB4F01">
      <w:pPr>
        <w:spacing w:line="360" w:lineRule="auto"/>
        <w:jc w:val="both"/>
        <w:rPr>
          <w:sz w:val="24"/>
          <w:szCs w:val="24"/>
        </w:rPr>
      </w:pPr>
    </w:p>
    <w:p w14:paraId="7BCD1802" w14:textId="77777777" w:rsidR="00FB4F01" w:rsidRDefault="00FB4F01" w:rsidP="00FB4F01">
      <w:pPr>
        <w:spacing w:line="360" w:lineRule="auto"/>
        <w:jc w:val="both"/>
        <w:rPr>
          <w:sz w:val="24"/>
          <w:szCs w:val="24"/>
        </w:rPr>
      </w:pPr>
    </w:p>
    <w:p w14:paraId="061EED68" w14:textId="77777777" w:rsidR="00FB4F01" w:rsidRDefault="00FB4F01" w:rsidP="00FB4F01">
      <w:pPr>
        <w:spacing w:line="360" w:lineRule="auto"/>
        <w:jc w:val="both"/>
        <w:rPr>
          <w:sz w:val="24"/>
          <w:szCs w:val="24"/>
        </w:rPr>
      </w:pPr>
    </w:p>
    <w:p w14:paraId="01993182" w14:textId="77777777" w:rsidR="00B952F6" w:rsidRDefault="00B952F6" w:rsidP="00FB4F01">
      <w:pPr>
        <w:spacing w:line="360" w:lineRule="auto"/>
        <w:jc w:val="both"/>
        <w:rPr>
          <w:sz w:val="24"/>
          <w:szCs w:val="24"/>
        </w:rPr>
      </w:pPr>
    </w:p>
    <w:p w14:paraId="161ABFE2" w14:textId="77777777" w:rsidR="00B952F6" w:rsidRPr="00FB4F01" w:rsidRDefault="00B952F6" w:rsidP="00FB4F01">
      <w:pPr>
        <w:spacing w:line="360" w:lineRule="auto"/>
        <w:jc w:val="both"/>
        <w:rPr>
          <w:sz w:val="24"/>
          <w:szCs w:val="24"/>
        </w:rPr>
      </w:pPr>
    </w:p>
    <w:p w14:paraId="6A20F4E4" w14:textId="77777777" w:rsidR="00FB4F01" w:rsidRDefault="00FB4F01" w:rsidP="00FB4F01">
      <w:pPr>
        <w:jc w:val="center"/>
        <w:rPr>
          <w:b/>
          <w:bCs/>
          <w:sz w:val="24"/>
          <w:szCs w:val="24"/>
          <w:u w:val="single"/>
        </w:rPr>
      </w:pPr>
      <w:r>
        <w:rPr>
          <w:b/>
          <w:bCs/>
          <w:sz w:val="24"/>
          <w:szCs w:val="24"/>
          <w:u w:val="single"/>
        </w:rPr>
        <w:t>A v B</w:t>
      </w:r>
    </w:p>
    <w:p w14:paraId="6B8658D0" w14:textId="77777777" w:rsidR="00FB4F01" w:rsidRPr="00E855B6" w:rsidRDefault="00FB4F01" w:rsidP="00FB4F01">
      <w:pPr>
        <w:jc w:val="center"/>
        <w:rPr>
          <w:b/>
          <w:bCs/>
          <w:sz w:val="24"/>
          <w:szCs w:val="24"/>
          <w:u w:val="single"/>
        </w:rPr>
      </w:pPr>
    </w:p>
    <w:p w14:paraId="0D5FD15B" w14:textId="0237452E" w:rsidR="00FB4F01" w:rsidRDefault="00B952F6" w:rsidP="00FB4F01">
      <w:pPr>
        <w:jc w:val="center"/>
        <w:rPr>
          <w:b/>
          <w:color w:val="000000"/>
          <w:sz w:val="24"/>
          <w:szCs w:val="24"/>
        </w:rPr>
      </w:pPr>
      <w:r>
        <w:rPr>
          <w:b/>
          <w:color w:val="000000"/>
          <w:sz w:val="24"/>
          <w:szCs w:val="24"/>
        </w:rPr>
        <w:t>[</w:t>
      </w:r>
      <w:proofErr w:type="gramStart"/>
      <w:r>
        <w:rPr>
          <w:b/>
          <w:color w:val="000000"/>
          <w:sz w:val="24"/>
          <w:szCs w:val="24"/>
        </w:rPr>
        <w:t>possible</w:t>
      </w:r>
      <w:proofErr w:type="gramEnd"/>
      <w:r w:rsidR="00AF6974">
        <w:rPr>
          <w:b/>
          <w:color w:val="000000"/>
          <w:sz w:val="24"/>
          <w:szCs w:val="24"/>
        </w:rPr>
        <w:t xml:space="preserve">] </w:t>
      </w:r>
      <w:r w:rsidR="00FB4F01" w:rsidRPr="00030157">
        <w:rPr>
          <w:b/>
          <w:color w:val="000000"/>
          <w:sz w:val="24"/>
          <w:szCs w:val="24"/>
        </w:rPr>
        <w:t>AGENDA FOR JOINT MEETING OF EXPERTS</w:t>
      </w:r>
    </w:p>
    <w:p w14:paraId="1C0A1FF2" w14:textId="77777777" w:rsidR="00FB4F01" w:rsidRPr="00BE5BBE" w:rsidRDefault="00FB4F01" w:rsidP="00FB4F01">
      <w:pPr>
        <w:jc w:val="center"/>
        <w:rPr>
          <w:b/>
          <w:color w:val="000000"/>
          <w:sz w:val="24"/>
          <w:szCs w:val="24"/>
        </w:rPr>
      </w:pPr>
    </w:p>
    <w:p w14:paraId="2FEF5392" w14:textId="77777777" w:rsidR="00FB4F01" w:rsidRPr="00FB4F01" w:rsidRDefault="00FB4F01" w:rsidP="00FB4F01">
      <w:pPr>
        <w:pStyle w:val="ListParagraph"/>
        <w:numPr>
          <w:ilvl w:val="0"/>
          <w:numId w:val="12"/>
        </w:numPr>
        <w:spacing w:line="360" w:lineRule="auto"/>
        <w:jc w:val="both"/>
        <w:rPr>
          <w:bCs/>
          <w:sz w:val="24"/>
          <w:szCs w:val="24"/>
        </w:rPr>
      </w:pPr>
      <w:r w:rsidRPr="00FB4F01">
        <w:rPr>
          <w:bCs/>
          <w:sz w:val="24"/>
          <w:szCs w:val="24"/>
        </w:rPr>
        <w:t>Parties are agreed that their respective medical experts should meet to discuss the issues in the case with a view to identifying the matters on which they agree and do not agree, including their reasons for any such disagreement.</w:t>
      </w:r>
    </w:p>
    <w:p w14:paraId="0B65D4C5" w14:textId="77777777" w:rsidR="00FB4F01" w:rsidRPr="00FB4F01" w:rsidRDefault="00FB4F01" w:rsidP="00FB4F01">
      <w:pPr>
        <w:pStyle w:val="ListParagraph"/>
        <w:numPr>
          <w:ilvl w:val="0"/>
          <w:numId w:val="12"/>
        </w:numPr>
        <w:spacing w:line="360" w:lineRule="auto"/>
        <w:jc w:val="both"/>
        <w:rPr>
          <w:bCs/>
          <w:sz w:val="24"/>
          <w:szCs w:val="24"/>
        </w:rPr>
      </w:pPr>
      <w:r w:rsidRPr="00FB4F01">
        <w:rPr>
          <w:bCs/>
          <w:sz w:val="24"/>
          <w:szCs w:val="24"/>
        </w:rPr>
        <w:t>For the assistance of the experts parties have agreed a list of the main questions that they consider should be addressed at the meeting (appendix 1).</w:t>
      </w:r>
    </w:p>
    <w:p w14:paraId="5CA03D0A" w14:textId="618127CD" w:rsidR="00FB4F01" w:rsidRPr="00FB4F01" w:rsidRDefault="007610B1" w:rsidP="00FB4F01">
      <w:pPr>
        <w:pStyle w:val="ListParagraph"/>
        <w:numPr>
          <w:ilvl w:val="0"/>
          <w:numId w:val="12"/>
        </w:numPr>
        <w:spacing w:line="360" w:lineRule="auto"/>
        <w:jc w:val="both"/>
        <w:rPr>
          <w:bCs/>
          <w:sz w:val="24"/>
          <w:szCs w:val="24"/>
        </w:rPr>
      </w:pPr>
      <w:r>
        <w:rPr>
          <w:bCs/>
          <w:sz w:val="24"/>
          <w:szCs w:val="24"/>
        </w:rPr>
        <w:t>[Parties have also agreed a c</w:t>
      </w:r>
      <w:r w:rsidR="00FB4F01" w:rsidRPr="00FB4F01">
        <w:rPr>
          <w:bCs/>
          <w:sz w:val="24"/>
          <w:szCs w:val="24"/>
        </w:rPr>
        <w:t>hronology of the deceased’s treatment with reference to the medical records (appendix 2).]</w:t>
      </w:r>
    </w:p>
    <w:p w14:paraId="0A52A0AC" w14:textId="6F5A47C6" w:rsidR="00FB4F01" w:rsidRPr="00FB4F01" w:rsidRDefault="00FB4F01" w:rsidP="00FB4F01">
      <w:pPr>
        <w:pStyle w:val="ListParagraph"/>
        <w:numPr>
          <w:ilvl w:val="0"/>
          <w:numId w:val="12"/>
        </w:numPr>
        <w:spacing w:line="360" w:lineRule="auto"/>
        <w:jc w:val="both"/>
        <w:rPr>
          <w:bCs/>
          <w:sz w:val="24"/>
          <w:szCs w:val="24"/>
        </w:rPr>
      </w:pPr>
      <w:r w:rsidRPr="00FB4F01">
        <w:rPr>
          <w:bCs/>
          <w:sz w:val="24"/>
          <w:szCs w:val="24"/>
        </w:rPr>
        <w:t>For the assistance of the Court, the experts should seek to agree the main medical and scientific literature in this case (including any medical and scientific literature that may assist the Court in understanding the releva</w:t>
      </w:r>
      <w:r w:rsidR="0044383F">
        <w:rPr>
          <w:bCs/>
          <w:sz w:val="24"/>
          <w:szCs w:val="24"/>
        </w:rPr>
        <w:t>nt anatomy, condition/</w:t>
      </w:r>
      <w:r w:rsidRPr="00FB4F01">
        <w:rPr>
          <w:bCs/>
          <w:sz w:val="24"/>
          <w:szCs w:val="24"/>
        </w:rPr>
        <w:t xml:space="preserve">disease, treatment and medical terminology </w:t>
      </w:r>
      <w:proofErr w:type="spellStart"/>
      <w:r w:rsidRPr="00FB4F01">
        <w:rPr>
          <w:bCs/>
          <w:sz w:val="24"/>
          <w:szCs w:val="24"/>
        </w:rPr>
        <w:t>etc</w:t>
      </w:r>
      <w:proofErr w:type="spellEnd"/>
      <w:r w:rsidRPr="00FB4F01">
        <w:rPr>
          <w:bCs/>
          <w:sz w:val="24"/>
          <w:szCs w:val="24"/>
        </w:rPr>
        <w:t xml:space="preserve">). The experts should also indicate any particular literature, including particular </w:t>
      </w:r>
      <w:proofErr w:type="gramStart"/>
      <w:r w:rsidRPr="00FB4F01">
        <w:rPr>
          <w:bCs/>
          <w:sz w:val="24"/>
          <w:szCs w:val="24"/>
        </w:rPr>
        <w:t>passages, that</w:t>
      </w:r>
      <w:proofErr w:type="gramEnd"/>
      <w:r w:rsidRPr="00FB4F01">
        <w:rPr>
          <w:bCs/>
          <w:sz w:val="24"/>
          <w:szCs w:val="24"/>
        </w:rPr>
        <w:t xml:space="preserve"> they consider it would be helpful for the presiding judge to read in advance of the proof.</w:t>
      </w:r>
    </w:p>
    <w:p w14:paraId="1EEA9983" w14:textId="77777777" w:rsidR="00FB4F01" w:rsidRPr="00FB4F01" w:rsidRDefault="00FB4F01" w:rsidP="00FB4F01">
      <w:pPr>
        <w:pStyle w:val="ListParagraph"/>
        <w:numPr>
          <w:ilvl w:val="0"/>
          <w:numId w:val="12"/>
        </w:numPr>
        <w:spacing w:line="360" w:lineRule="auto"/>
        <w:jc w:val="both"/>
        <w:rPr>
          <w:bCs/>
          <w:sz w:val="24"/>
          <w:szCs w:val="24"/>
        </w:rPr>
      </w:pPr>
      <w:r w:rsidRPr="00FB4F01">
        <w:rPr>
          <w:bCs/>
          <w:sz w:val="24"/>
          <w:szCs w:val="24"/>
        </w:rPr>
        <w:t>For the assistance of the Court, the experts should produce a joint report within fourteen days of their meeting</w:t>
      </w:r>
      <w:r w:rsidRPr="00FB4F01">
        <w:rPr>
          <w:b/>
          <w:bCs/>
          <w:sz w:val="24"/>
          <w:szCs w:val="24"/>
        </w:rPr>
        <w:t xml:space="preserve"> </w:t>
      </w:r>
      <w:r w:rsidRPr="00FB4F01">
        <w:rPr>
          <w:bCs/>
          <w:sz w:val="24"/>
          <w:szCs w:val="24"/>
        </w:rPr>
        <w:t>setting out the matters on which they are agreed and the matters on which they are not agreed. The experts should state reasons for the views they express.</w:t>
      </w:r>
    </w:p>
    <w:p w14:paraId="291004D1" w14:textId="1B632E2B" w:rsidR="00FB4F01" w:rsidRPr="00FB4F01" w:rsidRDefault="00FB4F01" w:rsidP="00FB4F01">
      <w:pPr>
        <w:pStyle w:val="ListParagraph"/>
        <w:numPr>
          <w:ilvl w:val="0"/>
          <w:numId w:val="12"/>
        </w:numPr>
        <w:spacing w:line="360" w:lineRule="auto"/>
        <w:jc w:val="both"/>
        <w:rPr>
          <w:bCs/>
          <w:sz w:val="24"/>
          <w:szCs w:val="24"/>
        </w:rPr>
      </w:pPr>
      <w:r w:rsidRPr="00FB4F01">
        <w:rPr>
          <w:bCs/>
          <w:sz w:val="24"/>
          <w:szCs w:val="24"/>
        </w:rPr>
        <w:t xml:space="preserve">While the joint report will be admissible in evidence, all discussions between the experts are </w:t>
      </w:r>
      <w:r w:rsidR="007610B1">
        <w:rPr>
          <w:bCs/>
          <w:sz w:val="24"/>
          <w:szCs w:val="24"/>
        </w:rPr>
        <w:t xml:space="preserve">confidential </w:t>
      </w:r>
      <w:r w:rsidRPr="00FB4F01">
        <w:rPr>
          <w:bCs/>
          <w:sz w:val="24"/>
          <w:szCs w:val="24"/>
        </w:rPr>
        <w:t>and what is said or represented during the meeting will not be admissible in evidence.</w:t>
      </w:r>
    </w:p>
    <w:p w14:paraId="669591AD" w14:textId="77777777" w:rsidR="00FB4F01" w:rsidRDefault="00FB4F01" w:rsidP="00FB4F01">
      <w:pPr>
        <w:pStyle w:val="ListParagraph"/>
        <w:numPr>
          <w:ilvl w:val="0"/>
          <w:numId w:val="12"/>
        </w:numPr>
        <w:spacing w:line="360" w:lineRule="auto"/>
        <w:jc w:val="both"/>
        <w:rPr>
          <w:bCs/>
          <w:sz w:val="24"/>
          <w:szCs w:val="24"/>
        </w:rPr>
      </w:pPr>
      <w:r w:rsidRPr="00FB4F01">
        <w:rPr>
          <w:bCs/>
          <w:sz w:val="24"/>
          <w:szCs w:val="24"/>
        </w:rPr>
        <w:t>The expert witnesses are to consider only the cases and answers averred on Record and matters relevant to those.</w:t>
      </w:r>
    </w:p>
    <w:p w14:paraId="7580581C" w14:textId="77777777" w:rsidR="0044383F" w:rsidRDefault="0044383F" w:rsidP="0044383F">
      <w:pPr>
        <w:pStyle w:val="ListParagraph"/>
        <w:spacing w:line="360" w:lineRule="auto"/>
        <w:jc w:val="both"/>
        <w:rPr>
          <w:bCs/>
          <w:sz w:val="24"/>
          <w:szCs w:val="24"/>
        </w:rPr>
      </w:pPr>
    </w:p>
    <w:p w14:paraId="46EEFAB7" w14:textId="77777777" w:rsidR="007610B1" w:rsidRDefault="007610B1" w:rsidP="0044383F">
      <w:pPr>
        <w:pStyle w:val="ListParagraph"/>
        <w:spacing w:line="360" w:lineRule="auto"/>
        <w:jc w:val="both"/>
        <w:rPr>
          <w:bCs/>
          <w:sz w:val="24"/>
          <w:szCs w:val="24"/>
        </w:rPr>
      </w:pPr>
    </w:p>
    <w:p w14:paraId="5915292D" w14:textId="77777777" w:rsidR="007610B1" w:rsidRDefault="007610B1" w:rsidP="0044383F">
      <w:pPr>
        <w:pStyle w:val="ListParagraph"/>
        <w:spacing w:line="360" w:lineRule="auto"/>
        <w:jc w:val="both"/>
        <w:rPr>
          <w:bCs/>
          <w:sz w:val="24"/>
          <w:szCs w:val="24"/>
        </w:rPr>
      </w:pPr>
    </w:p>
    <w:p w14:paraId="1BD9965D" w14:textId="77777777" w:rsidR="007610B1" w:rsidRDefault="007610B1" w:rsidP="0044383F">
      <w:pPr>
        <w:pStyle w:val="ListParagraph"/>
        <w:spacing w:line="360" w:lineRule="auto"/>
        <w:jc w:val="both"/>
        <w:rPr>
          <w:bCs/>
          <w:sz w:val="24"/>
          <w:szCs w:val="24"/>
        </w:rPr>
      </w:pPr>
    </w:p>
    <w:p w14:paraId="056A40A9" w14:textId="77777777" w:rsidR="007610B1" w:rsidRDefault="007610B1" w:rsidP="0044383F">
      <w:pPr>
        <w:pStyle w:val="ListParagraph"/>
        <w:spacing w:line="360" w:lineRule="auto"/>
        <w:jc w:val="both"/>
        <w:rPr>
          <w:bCs/>
          <w:sz w:val="24"/>
          <w:szCs w:val="24"/>
        </w:rPr>
      </w:pPr>
    </w:p>
    <w:p w14:paraId="583F42D3" w14:textId="77777777" w:rsidR="007610B1" w:rsidRDefault="007610B1" w:rsidP="0044383F">
      <w:pPr>
        <w:pStyle w:val="ListParagraph"/>
        <w:spacing w:line="360" w:lineRule="auto"/>
        <w:jc w:val="both"/>
        <w:rPr>
          <w:bCs/>
          <w:sz w:val="24"/>
          <w:szCs w:val="24"/>
        </w:rPr>
      </w:pPr>
    </w:p>
    <w:p w14:paraId="0DF371AC" w14:textId="77777777" w:rsidR="007610B1" w:rsidRDefault="007610B1" w:rsidP="0044383F">
      <w:pPr>
        <w:pStyle w:val="ListParagraph"/>
        <w:spacing w:line="360" w:lineRule="auto"/>
        <w:jc w:val="both"/>
        <w:rPr>
          <w:bCs/>
          <w:sz w:val="24"/>
          <w:szCs w:val="24"/>
        </w:rPr>
      </w:pPr>
    </w:p>
    <w:p w14:paraId="6EF375D4" w14:textId="77777777" w:rsidR="007610B1" w:rsidRPr="007610B1" w:rsidRDefault="007610B1" w:rsidP="007610B1">
      <w:pPr>
        <w:spacing w:line="360" w:lineRule="auto"/>
        <w:jc w:val="both"/>
        <w:rPr>
          <w:bCs/>
          <w:sz w:val="24"/>
          <w:szCs w:val="24"/>
        </w:rPr>
      </w:pPr>
    </w:p>
    <w:p w14:paraId="13028C31" w14:textId="77777777" w:rsidR="00FB4F01" w:rsidRDefault="00FB4F01" w:rsidP="007610B1">
      <w:pPr>
        <w:pStyle w:val="ListParagraph"/>
        <w:spacing w:line="360" w:lineRule="auto"/>
        <w:jc w:val="center"/>
        <w:rPr>
          <w:b/>
          <w:bCs/>
          <w:sz w:val="24"/>
          <w:szCs w:val="24"/>
          <w:u w:val="single"/>
        </w:rPr>
      </w:pPr>
      <w:r w:rsidRPr="00FB4F01">
        <w:rPr>
          <w:b/>
          <w:bCs/>
          <w:sz w:val="24"/>
          <w:szCs w:val="24"/>
          <w:u w:val="single"/>
        </w:rPr>
        <w:t>Appendix 1</w:t>
      </w:r>
    </w:p>
    <w:p w14:paraId="7B8FECBC" w14:textId="77777777" w:rsidR="00EF66F8" w:rsidRPr="00FB4F01" w:rsidRDefault="00EF66F8" w:rsidP="007610B1">
      <w:pPr>
        <w:pStyle w:val="ListParagraph"/>
        <w:spacing w:line="360" w:lineRule="auto"/>
        <w:jc w:val="center"/>
        <w:rPr>
          <w:b/>
          <w:bCs/>
          <w:sz w:val="24"/>
          <w:szCs w:val="24"/>
          <w:u w:val="single"/>
        </w:rPr>
      </w:pPr>
    </w:p>
    <w:p w14:paraId="63C8EE51" w14:textId="0DD24D4B" w:rsidR="00FB4F01" w:rsidRPr="00FB4F01" w:rsidRDefault="00EF66F8" w:rsidP="00FB4F01">
      <w:pPr>
        <w:pStyle w:val="ListParagraph"/>
        <w:spacing w:line="360" w:lineRule="auto"/>
        <w:jc w:val="both"/>
        <w:rPr>
          <w:b/>
          <w:bCs/>
          <w:sz w:val="24"/>
          <w:szCs w:val="24"/>
        </w:rPr>
      </w:pPr>
      <w:r>
        <w:rPr>
          <w:b/>
          <w:bCs/>
          <w:sz w:val="24"/>
          <w:szCs w:val="24"/>
        </w:rPr>
        <w:t>[NB: more specific</w:t>
      </w:r>
      <w:r w:rsidR="00FB4F01" w:rsidRPr="00FB4F01">
        <w:rPr>
          <w:b/>
          <w:bCs/>
          <w:sz w:val="24"/>
          <w:szCs w:val="24"/>
        </w:rPr>
        <w:t xml:space="preserve"> questions (i.e. relating to the particular facts and circumstances of the case) are likely to be appropriate but the general questions sug</w:t>
      </w:r>
      <w:r w:rsidR="00FB4F01">
        <w:rPr>
          <w:b/>
          <w:bCs/>
          <w:sz w:val="24"/>
          <w:szCs w:val="24"/>
        </w:rPr>
        <w:t>gested below may</w:t>
      </w:r>
      <w:r w:rsidR="00FB4F01" w:rsidRPr="00FB4F01">
        <w:rPr>
          <w:b/>
          <w:bCs/>
          <w:sz w:val="24"/>
          <w:szCs w:val="24"/>
        </w:rPr>
        <w:t xml:space="preserve"> assist in providing </w:t>
      </w:r>
      <w:r>
        <w:rPr>
          <w:b/>
          <w:bCs/>
          <w:sz w:val="24"/>
          <w:szCs w:val="24"/>
        </w:rPr>
        <w:t>a framework for drafting</w:t>
      </w:r>
      <w:r w:rsidR="00FB4F01" w:rsidRPr="00FB4F01">
        <w:rPr>
          <w:b/>
          <w:bCs/>
          <w:sz w:val="24"/>
          <w:szCs w:val="24"/>
        </w:rPr>
        <w:t xml:space="preserve"> more </w:t>
      </w:r>
      <w:r>
        <w:rPr>
          <w:b/>
          <w:bCs/>
          <w:sz w:val="24"/>
          <w:szCs w:val="24"/>
        </w:rPr>
        <w:t xml:space="preserve">focussed </w:t>
      </w:r>
      <w:r w:rsidR="00FB4F01" w:rsidRPr="00FB4F01">
        <w:rPr>
          <w:b/>
          <w:bCs/>
          <w:sz w:val="24"/>
          <w:szCs w:val="24"/>
        </w:rPr>
        <w:t>questions]</w:t>
      </w:r>
    </w:p>
    <w:p w14:paraId="2E6B944F" w14:textId="77777777" w:rsidR="00FB4F01" w:rsidRPr="00FB4F01" w:rsidRDefault="00FB4F01" w:rsidP="00FB4F01">
      <w:pPr>
        <w:pStyle w:val="ListParagraph"/>
        <w:spacing w:line="360" w:lineRule="auto"/>
        <w:jc w:val="both"/>
        <w:rPr>
          <w:b/>
          <w:bCs/>
          <w:sz w:val="24"/>
          <w:szCs w:val="24"/>
        </w:rPr>
      </w:pPr>
    </w:p>
    <w:p w14:paraId="70257057" w14:textId="77777777" w:rsidR="00FB4F01" w:rsidRPr="00FB4F01" w:rsidRDefault="00FB4F01" w:rsidP="00FB4F01">
      <w:pPr>
        <w:pStyle w:val="ListParagraph"/>
        <w:spacing w:line="360" w:lineRule="auto"/>
        <w:jc w:val="both"/>
        <w:rPr>
          <w:b/>
          <w:bCs/>
          <w:sz w:val="24"/>
          <w:szCs w:val="24"/>
        </w:rPr>
      </w:pPr>
      <w:r w:rsidRPr="00FB4F01">
        <w:rPr>
          <w:b/>
          <w:bCs/>
          <w:sz w:val="24"/>
          <w:szCs w:val="24"/>
        </w:rPr>
        <w:t>Negligence</w:t>
      </w:r>
    </w:p>
    <w:p w14:paraId="6753AB0B" w14:textId="6DEFF643" w:rsidR="00FB4F01" w:rsidRDefault="007561DD" w:rsidP="007561DD">
      <w:pPr>
        <w:pStyle w:val="ListParagraph"/>
        <w:numPr>
          <w:ilvl w:val="0"/>
          <w:numId w:val="14"/>
        </w:numPr>
        <w:spacing w:line="360" w:lineRule="auto"/>
        <w:jc w:val="both"/>
        <w:rPr>
          <w:bCs/>
          <w:sz w:val="24"/>
          <w:szCs w:val="24"/>
        </w:rPr>
      </w:pPr>
      <w:r>
        <w:rPr>
          <w:bCs/>
          <w:sz w:val="24"/>
          <w:szCs w:val="24"/>
        </w:rPr>
        <w:t>W</w:t>
      </w:r>
      <w:r w:rsidR="00FB4F01" w:rsidRPr="007561DD">
        <w:rPr>
          <w:bCs/>
          <w:sz w:val="24"/>
          <w:szCs w:val="24"/>
        </w:rPr>
        <w:t>hether, during the periods referred to on Record, there was a usual and normal practice among Consultant [] Surgeons, in relation to any of the alleged acts and omissions averred in Article [] of Condescendence (at pages [] to [] of the Closed Record).</w:t>
      </w:r>
    </w:p>
    <w:p w14:paraId="0FD5C580" w14:textId="738CEBD1" w:rsidR="00FB4F01" w:rsidRPr="007561DD" w:rsidRDefault="00FB4F01" w:rsidP="007561DD">
      <w:pPr>
        <w:pStyle w:val="ListParagraph"/>
        <w:numPr>
          <w:ilvl w:val="0"/>
          <w:numId w:val="14"/>
        </w:numPr>
        <w:spacing w:line="360" w:lineRule="auto"/>
        <w:jc w:val="both"/>
        <w:rPr>
          <w:bCs/>
          <w:sz w:val="24"/>
          <w:szCs w:val="24"/>
        </w:rPr>
      </w:pPr>
      <w:r w:rsidRPr="007561DD">
        <w:rPr>
          <w:bCs/>
          <w:sz w:val="24"/>
          <w:szCs w:val="24"/>
        </w:rPr>
        <w:t>W</w:t>
      </w:r>
      <w:r w:rsidRPr="007561DD">
        <w:rPr>
          <w:sz w:val="24"/>
          <w:szCs w:val="24"/>
        </w:rPr>
        <w:t>hether any of these alleged acts and omissions, if established in fact, constituted a departure from any such usual and normal practice.</w:t>
      </w:r>
    </w:p>
    <w:p w14:paraId="170686AF" w14:textId="6B72F9AF" w:rsidR="00FB4F01" w:rsidRPr="007561DD" w:rsidRDefault="00FB4F01" w:rsidP="007561DD">
      <w:pPr>
        <w:pStyle w:val="ListParagraph"/>
        <w:numPr>
          <w:ilvl w:val="0"/>
          <w:numId w:val="14"/>
        </w:numPr>
        <w:spacing w:line="360" w:lineRule="auto"/>
        <w:jc w:val="both"/>
        <w:rPr>
          <w:bCs/>
          <w:sz w:val="24"/>
          <w:szCs w:val="24"/>
        </w:rPr>
      </w:pPr>
      <w:r w:rsidRPr="007561DD">
        <w:rPr>
          <w:sz w:val="24"/>
          <w:szCs w:val="24"/>
        </w:rPr>
        <w:t>Whether any of these alleged acts and omissions, if established in fact, constituted a course of action that no Consultant [] Surgeon of ordinary skill would have taken if acting with ordinary care.</w:t>
      </w:r>
    </w:p>
    <w:p w14:paraId="314B9070" w14:textId="3AF0F8F9" w:rsidR="007561DD" w:rsidRPr="007561DD" w:rsidRDefault="007561DD" w:rsidP="007561DD">
      <w:pPr>
        <w:pStyle w:val="ListParagraph"/>
        <w:spacing w:line="360" w:lineRule="auto"/>
        <w:jc w:val="both"/>
        <w:rPr>
          <w:b/>
          <w:bCs/>
          <w:sz w:val="24"/>
          <w:szCs w:val="24"/>
        </w:rPr>
      </w:pPr>
      <w:r w:rsidRPr="007561DD">
        <w:rPr>
          <w:b/>
          <w:sz w:val="24"/>
          <w:szCs w:val="24"/>
        </w:rPr>
        <w:t>Causation</w:t>
      </w:r>
    </w:p>
    <w:p w14:paraId="21A42E69" w14:textId="3C232D26" w:rsidR="00FB4F01" w:rsidRDefault="00FB4F01" w:rsidP="007561DD">
      <w:pPr>
        <w:pStyle w:val="ListParagraph"/>
        <w:numPr>
          <w:ilvl w:val="0"/>
          <w:numId w:val="14"/>
        </w:numPr>
        <w:spacing w:line="360" w:lineRule="auto"/>
        <w:jc w:val="both"/>
        <w:rPr>
          <w:bCs/>
          <w:sz w:val="24"/>
          <w:szCs w:val="24"/>
        </w:rPr>
      </w:pPr>
      <w:r w:rsidRPr="007561DD">
        <w:rPr>
          <w:bCs/>
          <w:sz w:val="24"/>
          <w:szCs w:val="24"/>
        </w:rPr>
        <w:t>What loss, injury and damage, if any, was caused by the acts and omissions averred in Article [] of Condescendence (at pages [] to [] of the Closed Record)?</w:t>
      </w:r>
    </w:p>
    <w:p w14:paraId="4522ECBD" w14:textId="364E9C41" w:rsidR="007561DD" w:rsidRPr="007561DD" w:rsidRDefault="007561DD" w:rsidP="007561DD">
      <w:pPr>
        <w:pStyle w:val="ListParagraph"/>
        <w:spacing w:line="360" w:lineRule="auto"/>
        <w:jc w:val="both"/>
        <w:rPr>
          <w:b/>
          <w:bCs/>
          <w:sz w:val="24"/>
          <w:szCs w:val="24"/>
        </w:rPr>
      </w:pPr>
      <w:r w:rsidRPr="00FB4F01">
        <w:rPr>
          <w:b/>
          <w:bCs/>
          <w:sz w:val="24"/>
          <w:szCs w:val="24"/>
        </w:rPr>
        <w:t>Causation (fatal case/delay in diagnosing cancer)</w:t>
      </w:r>
    </w:p>
    <w:p w14:paraId="205804D9" w14:textId="77B44305" w:rsidR="00FB4F01" w:rsidRDefault="007561DD" w:rsidP="007561DD">
      <w:pPr>
        <w:pStyle w:val="ListParagraph"/>
        <w:numPr>
          <w:ilvl w:val="0"/>
          <w:numId w:val="14"/>
        </w:numPr>
        <w:spacing w:line="360" w:lineRule="auto"/>
        <w:jc w:val="both"/>
        <w:rPr>
          <w:bCs/>
          <w:sz w:val="24"/>
          <w:szCs w:val="24"/>
        </w:rPr>
      </w:pPr>
      <w:r>
        <w:rPr>
          <w:bCs/>
          <w:sz w:val="24"/>
          <w:szCs w:val="24"/>
        </w:rPr>
        <w:t>What</w:t>
      </w:r>
      <w:r w:rsidR="00FB4F01" w:rsidRPr="007561DD">
        <w:rPr>
          <w:bCs/>
          <w:sz w:val="24"/>
          <w:szCs w:val="24"/>
        </w:rPr>
        <w:t xml:space="preserve"> investigations, if any, are likely to have been undertaken if the deceased had been referre</w:t>
      </w:r>
      <w:r w:rsidR="00784572" w:rsidRPr="007561DD">
        <w:rPr>
          <w:bCs/>
          <w:sz w:val="24"/>
          <w:szCs w:val="24"/>
        </w:rPr>
        <w:t>d to an oncologist following the</w:t>
      </w:r>
      <w:r w:rsidR="00FB4F01" w:rsidRPr="007561DD">
        <w:rPr>
          <w:bCs/>
          <w:sz w:val="24"/>
          <w:szCs w:val="24"/>
        </w:rPr>
        <w:t xml:space="preserve"> attendance with his GP on []?</w:t>
      </w:r>
    </w:p>
    <w:p w14:paraId="08E88C02" w14:textId="7C4E3797" w:rsidR="00FB4F01" w:rsidRDefault="00FB4F01" w:rsidP="007561DD">
      <w:pPr>
        <w:pStyle w:val="ListParagraph"/>
        <w:numPr>
          <w:ilvl w:val="0"/>
          <w:numId w:val="14"/>
        </w:numPr>
        <w:spacing w:line="360" w:lineRule="auto"/>
        <w:jc w:val="both"/>
        <w:rPr>
          <w:bCs/>
          <w:sz w:val="24"/>
          <w:szCs w:val="24"/>
        </w:rPr>
      </w:pPr>
      <w:r w:rsidRPr="007561DD">
        <w:rPr>
          <w:bCs/>
          <w:sz w:val="24"/>
          <w:szCs w:val="24"/>
        </w:rPr>
        <w:t>Whether, if the deceased had been referre</w:t>
      </w:r>
      <w:r w:rsidR="00784572" w:rsidRPr="007561DD">
        <w:rPr>
          <w:bCs/>
          <w:sz w:val="24"/>
          <w:szCs w:val="24"/>
        </w:rPr>
        <w:t>d to an oncologist following the</w:t>
      </w:r>
      <w:r w:rsidRPr="007561DD">
        <w:rPr>
          <w:bCs/>
          <w:sz w:val="24"/>
          <w:szCs w:val="24"/>
        </w:rPr>
        <w:t xml:space="preserve"> attendance with his GP on [], c</w:t>
      </w:r>
      <w:r w:rsidR="00784572" w:rsidRPr="007561DD">
        <w:rPr>
          <w:bCs/>
          <w:sz w:val="24"/>
          <w:szCs w:val="24"/>
        </w:rPr>
        <w:t>ancer</w:t>
      </w:r>
      <w:r w:rsidRPr="007561DD">
        <w:rPr>
          <w:bCs/>
          <w:sz w:val="24"/>
          <w:szCs w:val="24"/>
        </w:rPr>
        <w:t xml:space="preserve"> is likely to have been (a) present and (b) detected? </w:t>
      </w:r>
    </w:p>
    <w:p w14:paraId="6BBEBAD7" w14:textId="4E4892F3" w:rsidR="00FB4F01" w:rsidRPr="007561DD" w:rsidRDefault="00FB4F01" w:rsidP="007561DD">
      <w:pPr>
        <w:pStyle w:val="ListParagraph"/>
        <w:numPr>
          <w:ilvl w:val="0"/>
          <w:numId w:val="14"/>
        </w:numPr>
        <w:spacing w:line="360" w:lineRule="auto"/>
        <w:jc w:val="both"/>
        <w:rPr>
          <w:bCs/>
          <w:sz w:val="24"/>
          <w:szCs w:val="24"/>
        </w:rPr>
      </w:pPr>
      <w:r w:rsidRPr="007561DD">
        <w:rPr>
          <w:bCs/>
          <w:sz w:val="24"/>
          <w:szCs w:val="24"/>
        </w:rPr>
        <w:t xml:space="preserve">If cancer is likely to have been present, what stage and grade is it likely to have been? </w:t>
      </w:r>
    </w:p>
    <w:p w14:paraId="0F12CB49" w14:textId="0494AD8C" w:rsidR="00FB4F01" w:rsidRPr="00FB4F01" w:rsidRDefault="00FB4F01" w:rsidP="00FB4F01">
      <w:pPr>
        <w:pStyle w:val="ListParagraph"/>
        <w:numPr>
          <w:ilvl w:val="0"/>
          <w:numId w:val="12"/>
        </w:numPr>
        <w:spacing w:line="360" w:lineRule="auto"/>
        <w:jc w:val="both"/>
        <w:rPr>
          <w:bCs/>
          <w:sz w:val="24"/>
          <w:szCs w:val="24"/>
        </w:rPr>
      </w:pPr>
      <w:r w:rsidRPr="00FB4F01">
        <w:rPr>
          <w:bCs/>
          <w:sz w:val="24"/>
          <w:szCs w:val="24"/>
        </w:rPr>
        <w:t xml:space="preserve">On the </w:t>
      </w:r>
      <w:r w:rsidR="00784572">
        <w:rPr>
          <w:bCs/>
          <w:sz w:val="24"/>
          <w:szCs w:val="24"/>
        </w:rPr>
        <w:t>hypothesis that cancer</w:t>
      </w:r>
      <w:r w:rsidRPr="00FB4F01">
        <w:rPr>
          <w:bCs/>
          <w:sz w:val="24"/>
          <w:szCs w:val="24"/>
        </w:rPr>
        <w:t xml:space="preserve"> is likely to have been detected if the deceased had been referre</w:t>
      </w:r>
      <w:r w:rsidR="009C78A3">
        <w:rPr>
          <w:bCs/>
          <w:sz w:val="24"/>
          <w:szCs w:val="24"/>
        </w:rPr>
        <w:t>d to an oncologist following the</w:t>
      </w:r>
      <w:r w:rsidRPr="00FB4F01">
        <w:rPr>
          <w:bCs/>
          <w:sz w:val="24"/>
          <w:szCs w:val="24"/>
        </w:rPr>
        <w:t xml:space="preserve"> attendance with his GP on [], (a) what </w:t>
      </w:r>
      <w:r w:rsidR="009C78A3">
        <w:rPr>
          <w:bCs/>
          <w:sz w:val="24"/>
          <w:szCs w:val="24"/>
        </w:rPr>
        <w:t xml:space="preserve">is </w:t>
      </w:r>
      <w:r w:rsidRPr="00FB4F01">
        <w:rPr>
          <w:bCs/>
          <w:sz w:val="24"/>
          <w:szCs w:val="24"/>
        </w:rPr>
        <w:t xml:space="preserve">the </w:t>
      </w:r>
      <w:r w:rsidR="009C78A3">
        <w:rPr>
          <w:bCs/>
          <w:sz w:val="24"/>
          <w:szCs w:val="24"/>
        </w:rPr>
        <w:t>deceased’s treatment, if any,</w:t>
      </w:r>
      <w:r w:rsidRPr="00FB4F01">
        <w:rPr>
          <w:bCs/>
          <w:sz w:val="24"/>
          <w:szCs w:val="24"/>
        </w:rPr>
        <w:t xml:space="preserve"> likely to have been and (b) what </w:t>
      </w:r>
      <w:r w:rsidR="009C78A3">
        <w:rPr>
          <w:bCs/>
          <w:sz w:val="24"/>
          <w:szCs w:val="24"/>
        </w:rPr>
        <w:t xml:space="preserve">would have been his life expectancy </w:t>
      </w:r>
      <w:r>
        <w:rPr>
          <w:bCs/>
          <w:sz w:val="24"/>
          <w:szCs w:val="24"/>
        </w:rPr>
        <w:t>following any such treatment?</w:t>
      </w:r>
      <w:r w:rsidRPr="00FB4F01">
        <w:rPr>
          <w:bCs/>
          <w:sz w:val="24"/>
          <w:szCs w:val="24"/>
        </w:rPr>
        <w:t xml:space="preserve">   </w:t>
      </w:r>
    </w:p>
    <w:p w14:paraId="5F0D68B0" w14:textId="5499215A" w:rsidR="00FB4F01" w:rsidRPr="00FB4F01" w:rsidRDefault="009C78A3" w:rsidP="00FB4F01">
      <w:pPr>
        <w:pStyle w:val="ListParagraph"/>
        <w:numPr>
          <w:ilvl w:val="0"/>
          <w:numId w:val="12"/>
        </w:numPr>
        <w:spacing w:line="360" w:lineRule="auto"/>
        <w:jc w:val="both"/>
        <w:rPr>
          <w:bCs/>
          <w:sz w:val="24"/>
          <w:szCs w:val="24"/>
        </w:rPr>
      </w:pPr>
      <w:r>
        <w:rPr>
          <w:bCs/>
          <w:sz w:val="24"/>
          <w:szCs w:val="24"/>
        </w:rPr>
        <w:t xml:space="preserve">Whether </w:t>
      </w:r>
      <w:r w:rsidR="00FB4F01" w:rsidRPr="00FB4F01">
        <w:rPr>
          <w:bCs/>
          <w:sz w:val="24"/>
          <w:szCs w:val="24"/>
        </w:rPr>
        <w:t>any of the acts and omissions in Article [] of Condescendence, if established in fact, caused or materially contrib</w:t>
      </w:r>
      <w:r>
        <w:rPr>
          <w:bCs/>
          <w:sz w:val="24"/>
          <w:szCs w:val="24"/>
        </w:rPr>
        <w:t>uted to the deceased’s death</w:t>
      </w:r>
      <w:r w:rsidR="00FB4F01">
        <w:rPr>
          <w:bCs/>
          <w:sz w:val="24"/>
          <w:szCs w:val="24"/>
        </w:rPr>
        <w:t>?</w:t>
      </w:r>
    </w:p>
    <w:p w14:paraId="2076187B" w14:textId="7285CC0F" w:rsidR="00FB4F01" w:rsidRPr="00FB4F01" w:rsidRDefault="00FB4F01" w:rsidP="00FB4F01">
      <w:pPr>
        <w:pStyle w:val="ListParagraph"/>
        <w:numPr>
          <w:ilvl w:val="0"/>
          <w:numId w:val="12"/>
        </w:numPr>
        <w:spacing w:line="360" w:lineRule="auto"/>
        <w:jc w:val="both"/>
        <w:rPr>
          <w:bCs/>
          <w:sz w:val="24"/>
          <w:szCs w:val="24"/>
        </w:rPr>
      </w:pPr>
      <w:r w:rsidRPr="00FB4F01">
        <w:rPr>
          <w:bCs/>
          <w:sz w:val="24"/>
          <w:szCs w:val="24"/>
        </w:rPr>
        <w:t>Whether, on the hypothesis that these acts and omissions had not occurred, the deceased is likely to have survived beyond [date of death] an</w:t>
      </w:r>
      <w:r>
        <w:rPr>
          <w:bCs/>
          <w:sz w:val="24"/>
          <w:szCs w:val="24"/>
        </w:rPr>
        <w:t>d, if so, for how much longer</w:t>
      </w:r>
      <w:r w:rsidRPr="00FB4F01">
        <w:rPr>
          <w:bCs/>
          <w:sz w:val="24"/>
          <w:szCs w:val="24"/>
        </w:rPr>
        <w:t xml:space="preserve"> would </w:t>
      </w:r>
      <w:r>
        <w:rPr>
          <w:bCs/>
          <w:sz w:val="24"/>
          <w:szCs w:val="24"/>
        </w:rPr>
        <w:t>he have lived?</w:t>
      </w:r>
      <w:r w:rsidRPr="00FB4F01">
        <w:rPr>
          <w:bCs/>
          <w:sz w:val="24"/>
          <w:szCs w:val="24"/>
        </w:rPr>
        <w:t xml:space="preserve">  </w:t>
      </w:r>
    </w:p>
    <w:p w14:paraId="31ED082A" w14:textId="77777777" w:rsidR="00FB4F01" w:rsidRPr="00FB4F01" w:rsidRDefault="00FB4F01" w:rsidP="00FB4F01">
      <w:pPr>
        <w:spacing w:line="360" w:lineRule="auto"/>
        <w:jc w:val="both"/>
        <w:rPr>
          <w:sz w:val="24"/>
          <w:szCs w:val="24"/>
        </w:rPr>
      </w:pPr>
    </w:p>
    <w:p w14:paraId="0B4A188F" w14:textId="77777777" w:rsidR="00884156" w:rsidRDefault="00884156" w:rsidP="00EC7F23">
      <w:pPr>
        <w:spacing w:line="360" w:lineRule="auto"/>
        <w:jc w:val="center"/>
        <w:rPr>
          <w:b/>
          <w:sz w:val="24"/>
          <w:szCs w:val="24"/>
          <w:u w:val="single"/>
        </w:rPr>
      </w:pPr>
    </w:p>
    <w:p w14:paraId="349CD109" w14:textId="77777777" w:rsidR="00884156" w:rsidRPr="00884156" w:rsidRDefault="00884156" w:rsidP="00EC7F23">
      <w:pPr>
        <w:spacing w:line="360" w:lineRule="auto"/>
        <w:jc w:val="center"/>
        <w:rPr>
          <w:b/>
          <w:sz w:val="24"/>
          <w:szCs w:val="24"/>
          <w:u w:val="single"/>
        </w:rPr>
      </w:pPr>
      <w:bookmarkStart w:id="0" w:name="_GoBack"/>
      <w:bookmarkEnd w:id="0"/>
    </w:p>
    <w:sectPr w:rsidR="00884156" w:rsidRPr="00884156" w:rsidSect="00BE143D">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78F60" w14:textId="77777777" w:rsidR="005D6E48" w:rsidRDefault="005D6E48" w:rsidP="00BE143D">
      <w:r>
        <w:separator/>
      </w:r>
    </w:p>
  </w:endnote>
  <w:endnote w:type="continuationSeparator" w:id="0">
    <w:p w14:paraId="4D9AAE49" w14:textId="77777777" w:rsidR="005D6E48" w:rsidRDefault="005D6E48" w:rsidP="00BE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62904" w14:textId="77777777" w:rsidR="005D6E48" w:rsidRDefault="005D6E48" w:rsidP="00BE143D">
      <w:r>
        <w:separator/>
      </w:r>
    </w:p>
  </w:footnote>
  <w:footnote w:type="continuationSeparator" w:id="0">
    <w:p w14:paraId="6B573A72" w14:textId="77777777" w:rsidR="005D6E48" w:rsidRDefault="005D6E48" w:rsidP="00BE143D">
      <w:r>
        <w:continuationSeparator/>
      </w:r>
    </w:p>
  </w:footnote>
  <w:footnote w:id="1">
    <w:p w14:paraId="0084975D" w14:textId="215CFF42" w:rsidR="005D6E48" w:rsidRPr="009A67EC" w:rsidRDefault="005D6E48">
      <w:pPr>
        <w:pStyle w:val="FootnoteText"/>
        <w:rPr>
          <w:sz w:val="20"/>
          <w:szCs w:val="20"/>
          <w:lang w:val="en-US"/>
        </w:rPr>
      </w:pPr>
      <w:r w:rsidRPr="009A67EC">
        <w:rPr>
          <w:rStyle w:val="FootnoteReference"/>
          <w:sz w:val="20"/>
          <w:szCs w:val="20"/>
        </w:rPr>
        <w:footnoteRef/>
      </w:r>
      <w:r w:rsidRPr="009A67EC">
        <w:rPr>
          <w:sz w:val="20"/>
          <w:szCs w:val="20"/>
        </w:rPr>
        <w:t xml:space="preserve"> I am grateful to Jamie Dawson</w:t>
      </w:r>
      <w:r>
        <w:rPr>
          <w:sz w:val="20"/>
          <w:szCs w:val="20"/>
        </w:rPr>
        <w:t>, Advocate,</w:t>
      </w:r>
      <w:r w:rsidRPr="009A67EC">
        <w:rPr>
          <w:sz w:val="20"/>
          <w:szCs w:val="20"/>
        </w:rPr>
        <w:t xml:space="preserve"> for </w:t>
      </w:r>
      <w:r>
        <w:rPr>
          <w:sz w:val="20"/>
          <w:szCs w:val="20"/>
        </w:rPr>
        <w:t>drawing my attention to the relevant procedure and authorities in England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B0108" w14:textId="77777777" w:rsidR="005D6E48" w:rsidRDefault="005D6E48" w:rsidP="005F6F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BA85C6" w14:textId="77777777" w:rsidR="005D6E48" w:rsidRDefault="005D6E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371B3" w14:textId="77777777" w:rsidR="005D6E48" w:rsidRDefault="005D6E48" w:rsidP="005F6F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1DD">
      <w:rPr>
        <w:rStyle w:val="PageNumber"/>
        <w:noProof/>
      </w:rPr>
      <w:t>14</w:t>
    </w:r>
    <w:r>
      <w:rPr>
        <w:rStyle w:val="PageNumber"/>
      </w:rPr>
      <w:fldChar w:fldCharType="end"/>
    </w:r>
  </w:p>
  <w:p w14:paraId="38A5C8C1" w14:textId="77777777" w:rsidR="005D6E48" w:rsidRDefault="005D6E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E9E"/>
    <w:multiLevelType w:val="hybridMultilevel"/>
    <w:tmpl w:val="FACCFA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63971"/>
    <w:multiLevelType w:val="hybridMultilevel"/>
    <w:tmpl w:val="D8AA7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1E5047"/>
    <w:multiLevelType w:val="hybridMultilevel"/>
    <w:tmpl w:val="382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50703"/>
    <w:multiLevelType w:val="hybridMultilevel"/>
    <w:tmpl w:val="46DCE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D1B30"/>
    <w:multiLevelType w:val="hybridMultilevel"/>
    <w:tmpl w:val="750604D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5D1E6F"/>
    <w:multiLevelType w:val="hybridMultilevel"/>
    <w:tmpl w:val="89562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611E2C"/>
    <w:multiLevelType w:val="hybridMultilevel"/>
    <w:tmpl w:val="6F883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46A45"/>
    <w:multiLevelType w:val="hybridMultilevel"/>
    <w:tmpl w:val="61F66F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03340E"/>
    <w:multiLevelType w:val="hybridMultilevel"/>
    <w:tmpl w:val="938253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942A39"/>
    <w:multiLevelType w:val="hybridMultilevel"/>
    <w:tmpl w:val="291A5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BA0D18"/>
    <w:multiLevelType w:val="hybridMultilevel"/>
    <w:tmpl w:val="EDF0CD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998371C"/>
    <w:multiLevelType w:val="hybridMultilevel"/>
    <w:tmpl w:val="CAEA31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D8597D"/>
    <w:multiLevelType w:val="hybridMultilevel"/>
    <w:tmpl w:val="AB6604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D63FF1"/>
    <w:multiLevelType w:val="hybridMultilevel"/>
    <w:tmpl w:val="D4BE1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2"/>
  </w:num>
  <w:num w:numId="4">
    <w:abstractNumId w:val="10"/>
  </w:num>
  <w:num w:numId="5">
    <w:abstractNumId w:val="13"/>
  </w:num>
  <w:num w:numId="6">
    <w:abstractNumId w:val="7"/>
  </w:num>
  <w:num w:numId="7">
    <w:abstractNumId w:val="0"/>
  </w:num>
  <w:num w:numId="8">
    <w:abstractNumId w:val="4"/>
  </w:num>
  <w:num w:numId="9">
    <w:abstractNumId w:val="8"/>
  </w:num>
  <w:num w:numId="10">
    <w:abstractNumId w:val="9"/>
  </w:num>
  <w:num w:numId="11">
    <w:abstractNumId w:val="11"/>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56"/>
    <w:rsid w:val="0001768E"/>
    <w:rsid w:val="000323D2"/>
    <w:rsid w:val="00036215"/>
    <w:rsid w:val="000431C4"/>
    <w:rsid w:val="00046EE6"/>
    <w:rsid w:val="00054684"/>
    <w:rsid w:val="0008276F"/>
    <w:rsid w:val="00094373"/>
    <w:rsid w:val="000D1752"/>
    <w:rsid w:val="000D6BB6"/>
    <w:rsid w:val="000D7ECB"/>
    <w:rsid w:val="00102019"/>
    <w:rsid w:val="0014692D"/>
    <w:rsid w:val="0014790E"/>
    <w:rsid w:val="0015063B"/>
    <w:rsid w:val="00172D62"/>
    <w:rsid w:val="00195375"/>
    <w:rsid w:val="001B2A4E"/>
    <w:rsid w:val="001C0702"/>
    <w:rsid w:val="0020411E"/>
    <w:rsid w:val="0022121B"/>
    <w:rsid w:val="00225995"/>
    <w:rsid w:val="00233F69"/>
    <w:rsid w:val="00280358"/>
    <w:rsid w:val="002C5CFA"/>
    <w:rsid w:val="002C6227"/>
    <w:rsid w:val="002F7C79"/>
    <w:rsid w:val="00313669"/>
    <w:rsid w:val="00316B53"/>
    <w:rsid w:val="00333F05"/>
    <w:rsid w:val="00344374"/>
    <w:rsid w:val="00364504"/>
    <w:rsid w:val="00380031"/>
    <w:rsid w:val="00383D06"/>
    <w:rsid w:val="003C06A2"/>
    <w:rsid w:val="003D192C"/>
    <w:rsid w:val="003E67FD"/>
    <w:rsid w:val="003E7750"/>
    <w:rsid w:val="003F5F57"/>
    <w:rsid w:val="004038F5"/>
    <w:rsid w:val="0041248D"/>
    <w:rsid w:val="00421CC0"/>
    <w:rsid w:val="00430ACB"/>
    <w:rsid w:val="00431E9B"/>
    <w:rsid w:val="00442BBF"/>
    <w:rsid w:val="0044383F"/>
    <w:rsid w:val="004737AB"/>
    <w:rsid w:val="004A64E1"/>
    <w:rsid w:val="004C282D"/>
    <w:rsid w:val="004C4184"/>
    <w:rsid w:val="004D06CB"/>
    <w:rsid w:val="004E09EF"/>
    <w:rsid w:val="004E4118"/>
    <w:rsid w:val="004F6A0B"/>
    <w:rsid w:val="00513830"/>
    <w:rsid w:val="00514B97"/>
    <w:rsid w:val="005246C6"/>
    <w:rsid w:val="00536405"/>
    <w:rsid w:val="00560D6F"/>
    <w:rsid w:val="005804E4"/>
    <w:rsid w:val="005838DB"/>
    <w:rsid w:val="00586E93"/>
    <w:rsid w:val="005A04DD"/>
    <w:rsid w:val="005B5A29"/>
    <w:rsid w:val="005C30C7"/>
    <w:rsid w:val="005D48F5"/>
    <w:rsid w:val="005D6E48"/>
    <w:rsid w:val="005F6F56"/>
    <w:rsid w:val="00635063"/>
    <w:rsid w:val="00636C52"/>
    <w:rsid w:val="00650468"/>
    <w:rsid w:val="00685FE3"/>
    <w:rsid w:val="006B4CCE"/>
    <w:rsid w:val="006B7E84"/>
    <w:rsid w:val="006C4A5C"/>
    <w:rsid w:val="006D71F9"/>
    <w:rsid w:val="00702949"/>
    <w:rsid w:val="0070464C"/>
    <w:rsid w:val="0070595E"/>
    <w:rsid w:val="007059C2"/>
    <w:rsid w:val="00710E44"/>
    <w:rsid w:val="00711DFF"/>
    <w:rsid w:val="0071262B"/>
    <w:rsid w:val="00716122"/>
    <w:rsid w:val="00716AC2"/>
    <w:rsid w:val="007457E6"/>
    <w:rsid w:val="00747D31"/>
    <w:rsid w:val="007513CA"/>
    <w:rsid w:val="00753606"/>
    <w:rsid w:val="007561DD"/>
    <w:rsid w:val="007610B1"/>
    <w:rsid w:val="00766080"/>
    <w:rsid w:val="007715FE"/>
    <w:rsid w:val="00780F44"/>
    <w:rsid w:val="00784572"/>
    <w:rsid w:val="007A575C"/>
    <w:rsid w:val="007B4456"/>
    <w:rsid w:val="007B5608"/>
    <w:rsid w:val="007D5F77"/>
    <w:rsid w:val="007E5FB7"/>
    <w:rsid w:val="007F6742"/>
    <w:rsid w:val="008219BA"/>
    <w:rsid w:val="008232B9"/>
    <w:rsid w:val="008322E8"/>
    <w:rsid w:val="00832984"/>
    <w:rsid w:val="00833B35"/>
    <w:rsid w:val="00841AC4"/>
    <w:rsid w:val="00847840"/>
    <w:rsid w:val="008517CE"/>
    <w:rsid w:val="00856D9F"/>
    <w:rsid w:val="00862381"/>
    <w:rsid w:val="008748C3"/>
    <w:rsid w:val="00884156"/>
    <w:rsid w:val="008905F0"/>
    <w:rsid w:val="0089330F"/>
    <w:rsid w:val="00894CE5"/>
    <w:rsid w:val="008B1BC7"/>
    <w:rsid w:val="008F0839"/>
    <w:rsid w:val="008F4B36"/>
    <w:rsid w:val="009016AD"/>
    <w:rsid w:val="00905197"/>
    <w:rsid w:val="00920F17"/>
    <w:rsid w:val="00927366"/>
    <w:rsid w:val="00935E51"/>
    <w:rsid w:val="00953212"/>
    <w:rsid w:val="009547F3"/>
    <w:rsid w:val="0097586B"/>
    <w:rsid w:val="00977073"/>
    <w:rsid w:val="009A5855"/>
    <w:rsid w:val="009A67EC"/>
    <w:rsid w:val="009B44C0"/>
    <w:rsid w:val="009C78A3"/>
    <w:rsid w:val="009D6669"/>
    <w:rsid w:val="009F5B0E"/>
    <w:rsid w:val="00A226C1"/>
    <w:rsid w:val="00A766D9"/>
    <w:rsid w:val="00AB40CA"/>
    <w:rsid w:val="00AD0FDE"/>
    <w:rsid w:val="00AF11CF"/>
    <w:rsid w:val="00AF6974"/>
    <w:rsid w:val="00B0766D"/>
    <w:rsid w:val="00B231F4"/>
    <w:rsid w:val="00B615A4"/>
    <w:rsid w:val="00B728A3"/>
    <w:rsid w:val="00B9471A"/>
    <w:rsid w:val="00B952F6"/>
    <w:rsid w:val="00BA49A3"/>
    <w:rsid w:val="00BB06F1"/>
    <w:rsid w:val="00BB7BD9"/>
    <w:rsid w:val="00BE143D"/>
    <w:rsid w:val="00C03A9A"/>
    <w:rsid w:val="00C07A37"/>
    <w:rsid w:val="00C45682"/>
    <w:rsid w:val="00C47270"/>
    <w:rsid w:val="00C55874"/>
    <w:rsid w:val="00C57BA1"/>
    <w:rsid w:val="00C57D54"/>
    <w:rsid w:val="00C60964"/>
    <w:rsid w:val="00C65CDE"/>
    <w:rsid w:val="00C7427F"/>
    <w:rsid w:val="00CB039C"/>
    <w:rsid w:val="00CB4545"/>
    <w:rsid w:val="00CD6803"/>
    <w:rsid w:val="00CD6AFA"/>
    <w:rsid w:val="00CE3409"/>
    <w:rsid w:val="00CF34D9"/>
    <w:rsid w:val="00D0205C"/>
    <w:rsid w:val="00D07828"/>
    <w:rsid w:val="00D275C8"/>
    <w:rsid w:val="00D42D16"/>
    <w:rsid w:val="00D4718C"/>
    <w:rsid w:val="00D5138F"/>
    <w:rsid w:val="00D74220"/>
    <w:rsid w:val="00D84C91"/>
    <w:rsid w:val="00D87424"/>
    <w:rsid w:val="00D95416"/>
    <w:rsid w:val="00DB3BA5"/>
    <w:rsid w:val="00DD346A"/>
    <w:rsid w:val="00DE67A3"/>
    <w:rsid w:val="00E31663"/>
    <w:rsid w:val="00E32D22"/>
    <w:rsid w:val="00E45541"/>
    <w:rsid w:val="00E45C4B"/>
    <w:rsid w:val="00E72906"/>
    <w:rsid w:val="00E75F2F"/>
    <w:rsid w:val="00E87035"/>
    <w:rsid w:val="00E9027D"/>
    <w:rsid w:val="00EC625E"/>
    <w:rsid w:val="00EC7F23"/>
    <w:rsid w:val="00EF61C0"/>
    <w:rsid w:val="00EF66F8"/>
    <w:rsid w:val="00F15278"/>
    <w:rsid w:val="00F212AB"/>
    <w:rsid w:val="00F227B3"/>
    <w:rsid w:val="00F31839"/>
    <w:rsid w:val="00F3383F"/>
    <w:rsid w:val="00F433A9"/>
    <w:rsid w:val="00F4617E"/>
    <w:rsid w:val="00F73C06"/>
    <w:rsid w:val="00F73F44"/>
    <w:rsid w:val="00F939A7"/>
    <w:rsid w:val="00FB4C5F"/>
    <w:rsid w:val="00FB4F01"/>
    <w:rsid w:val="00FB73EE"/>
    <w:rsid w:val="00FD0681"/>
    <w:rsid w:val="00FE55E5"/>
    <w:rsid w:val="00FE734E"/>
    <w:rsid w:val="00FF0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0568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9A3"/>
    <w:rPr>
      <w:rFonts w:ascii="Lucida Grande" w:hAnsi="Lucida Grande"/>
      <w:sz w:val="18"/>
      <w:szCs w:val="18"/>
    </w:rPr>
  </w:style>
  <w:style w:type="character" w:customStyle="1" w:styleId="BalloonTextChar">
    <w:name w:val="Balloon Text Char"/>
    <w:basedOn w:val="DefaultParagraphFont"/>
    <w:link w:val="BalloonText"/>
    <w:uiPriority w:val="99"/>
    <w:semiHidden/>
    <w:rsid w:val="00BA49A3"/>
    <w:rPr>
      <w:rFonts w:ascii="Lucida Grande" w:eastAsiaTheme="minorHAnsi" w:hAnsi="Lucida Grande"/>
      <w:sz w:val="18"/>
      <w:szCs w:val="18"/>
      <w:lang w:val="en-GB"/>
    </w:rPr>
  </w:style>
  <w:style w:type="paragraph" w:styleId="ListParagraph">
    <w:name w:val="List Paragraph"/>
    <w:basedOn w:val="Normal"/>
    <w:uiPriority w:val="34"/>
    <w:qFormat/>
    <w:rsid w:val="00884156"/>
    <w:pPr>
      <w:ind w:left="720"/>
      <w:contextualSpacing/>
    </w:pPr>
  </w:style>
  <w:style w:type="paragraph" w:styleId="Header">
    <w:name w:val="header"/>
    <w:basedOn w:val="Normal"/>
    <w:link w:val="HeaderChar"/>
    <w:uiPriority w:val="99"/>
    <w:unhideWhenUsed/>
    <w:rsid w:val="00BE143D"/>
    <w:pPr>
      <w:tabs>
        <w:tab w:val="center" w:pos="4320"/>
        <w:tab w:val="right" w:pos="8640"/>
      </w:tabs>
    </w:pPr>
  </w:style>
  <w:style w:type="character" w:customStyle="1" w:styleId="HeaderChar">
    <w:name w:val="Header Char"/>
    <w:basedOn w:val="DefaultParagraphFont"/>
    <w:link w:val="Header"/>
    <w:uiPriority w:val="99"/>
    <w:rsid w:val="00BE143D"/>
    <w:rPr>
      <w:rFonts w:eastAsiaTheme="minorHAnsi"/>
      <w:sz w:val="22"/>
      <w:szCs w:val="22"/>
      <w:lang w:val="en-GB"/>
    </w:rPr>
  </w:style>
  <w:style w:type="character" w:styleId="PageNumber">
    <w:name w:val="page number"/>
    <w:basedOn w:val="DefaultParagraphFont"/>
    <w:uiPriority w:val="99"/>
    <w:semiHidden/>
    <w:unhideWhenUsed/>
    <w:rsid w:val="00BE143D"/>
  </w:style>
  <w:style w:type="character" w:styleId="Hyperlink">
    <w:name w:val="Hyperlink"/>
    <w:basedOn w:val="DefaultParagraphFont"/>
    <w:uiPriority w:val="99"/>
    <w:unhideWhenUsed/>
    <w:rsid w:val="00195375"/>
    <w:rPr>
      <w:color w:val="0000FF" w:themeColor="hyperlink"/>
      <w:u w:val="single"/>
    </w:rPr>
  </w:style>
  <w:style w:type="paragraph" w:styleId="FootnoteText">
    <w:name w:val="footnote text"/>
    <w:basedOn w:val="Normal"/>
    <w:link w:val="FootnoteTextChar"/>
    <w:uiPriority w:val="99"/>
    <w:unhideWhenUsed/>
    <w:rsid w:val="009A67EC"/>
    <w:rPr>
      <w:sz w:val="24"/>
      <w:szCs w:val="24"/>
    </w:rPr>
  </w:style>
  <w:style w:type="character" w:customStyle="1" w:styleId="FootnoteTextChar">
    <w:name w:val="Footnote Text Char"/>
    <w:basedOn w:val="DefaultParagraphFont"/>
    <w:link w:val="FootnoteText"/>
    <w:uiPriority w:val="99"/>
    <w:rsid w:val="009A67EC"/>
    <w:rPr>
      <w:rFonts w:eastAsiaTheme="minorHAnsi"/>
      <w:lang w:val="en-GB"/>
    </w:rPr>
  </w:style>
  <w:style w:type="character" w:styleId="FootnoteReference">
    <w:name w:val="footnote reference"/>
    <w:basedOn w:val="DefaultParagraphFont"/>
    <w:uiPriority w:val="99"/>
    <w:unhideWhenUsed/>
    <w:rsid w:val="009A67E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9A3"/>
    <w:rPr>
      <w:rFonts w:ascii="Lucida Grande" w:hAnsi="Lucida Grande"/>
      <w:sz w:val="18"/>
      <w:szCs w:val="18"/>
    </w:rPr>
  </w:style>
  <w:style w:type="character" w:customStyle="1" w:styleId="BalloonTextChar">
    <w:name w:val="Balloon Text Char"/>
    <w:basedOn w:val="DefaultParagraphFont"/>
    <w:link w:val="BalloonText"/>
    <w:uiPriority w:val="99"/>
    <w:semiHidden/>
    <w:rsid w:val="00BA49A3"/>
    <w:rPr>
      <w:rFonts w:ascii="Lucida Grande" w:eastAsiaTheme="minorHAnsi" w:hAnsi="Lucida Grande"/>
      <w:sz w:val="18"/>
      <w:szCs w:val="18"/>
      <w:lang w:val="en-GB"/>
    </w:rPr>
  </w:style>
  <w:style w:type="paragraph" w:styleId="ListParagraph">
    <w:name w:val="List Paragraph"/>
    <w:basedOn w:val="Normal"/>
    <w:uiPriority w:val="34"/>
    <w:qFormat/>
    <w:rsid w:val="00884156"/>
    <w:pPr>
      <w:ind w:left="720"/>
      <w:contextualSpacing/>
    </w:pPr>
  </w:style>
  <w:style w:type="paragraph" w:styleId="Header">
    <w:name w:val="header"/>
    <w:basedOn w:val="Normal"/>
    <w:link w:val="HeaderChar"/>
    <w:uiPriority w:val="99"/>
    <w:unhideWhenUsed/>
    <w:rsid w:val="00BE143D"/>
    <w:pPr>
      <w:tabs>
        <w:tab w:val="center" w:pos="4320"/>
        <w:tab w:val="right" w:pos="8640"/>
      </w:tabs>
    </w:pPr>
  </w:style>
  <w:style w:type="character" w:customStyle="1" w:styleId="HeaderChar">
    <w:name w:val="Header Char"/>
    <w:basedOn w:val="DefaultParagraphFont"/>
    <w:link w:val="Header"/>
    <w:uiPriority w:val="99"/>
    <w:rsid w:val="00BE143D"/>
    <w:rPr>
      <w:rFonts w:eastAsiaTheme="minorHAnsi"/>
      <w:sz w:val="22"/>
      <w:szCs w:val="22"/>
      <w:lang w:val="en-GB"/>
    </w:rPr>
  </w:style>
  <w:style w:type="character" w:styleId="PageNumber">
    <w:name w:val="page number"/>
    <w:basedOn w:val="DefaultParagraphFont"/>
    <w:uiPriority w:val="99"/>
    <w:semiHidden/>
    <w:unhideWhenUsed/>
    <w:rsid w:val="00BE143D"/>
  </w:style>
  <w:style w:type="character" w:styleId="Hyperlink">
    <w:name w:val="Hyperlink"/>
    <w:basedOn w:val="DefaultParagraphFont"/>
    <w:uiPriority w:val="99"/>
    <w:unhideWhenUsed/>
    <w:rsid w:val="00195375"/>
    <w:rPr>
      <w:color w:val="0000FF" w:themeColor="hyperlink"/>
      <w:u w:val="single"/>
    </w:rPr>
  </w:style>
  <w:style w:type="paragraph" w:styleId="FootnoteText">
    <w:name w:val="footnote text"/>
    <w:basedOn w:val="Normal"/>
    <w:link w:val="FootnoteTextChar"/>
    <w:uiPriority w:val="99"/>
    <w:unhideWhenUsed/>
    <w:rsid w:val="009A67EC"/>
    <w:rPr>
      <w:sz w:val="24"/>
      <w:szCs w:val="24"/>
    </w:rPr>
  </w:style>
  <w:style w:type="character" w:customStyle="1" w:styleId="FootnoteTextChar">
    <w:name w:val="Footnote Text Char"/>
    <w:basedOn w:val="DefaultParagraphFont"/>
    <w:link w:val="FootnoteText"/>
    <w:uiPriority w:val="99"/>
    <w:rsid w:val="009A67EC"/>
    <w:rPr>
      <w:rFonts w:eastAsiaTheme="minorHAnsi"/>
      <w:lang w:val="en-GB"/>
    </w:rPr>
  </w:style>
  <w:style w:type="character" w:styleId="FootnoteReference">
    <w:name w:val="footnote reference"/>
    <w:basedOn w:val="DefaultParagraphFont"/>
    <w:uiPriority w:val="99"/>
    <w:unhideWhenUsed/>
    <w:rsid w:val="009A67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cjc@scotcourts.gov.uk"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14</Pages>
  <Words>3146</Words>
  <Characters>17936</Characters>
  <Application>Microsoft Macintosh Word</Application>
  <DocSecurity>0</DocSecurity>
  <Lines>149</Lines>
  <Paragraphs>42</Paragraphs>
  <ScaleCrop>false</ScaleCrop>
  <Company/>
  <LinksUpToDate>false</LinksUpToDate>
  <CharactersWithSpaces>21040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Mackenzie</dc:creator>
  <cp:keywords/>
  <dc:description/>
  <cp:lastModifiedBy>Euan Mackenzie</cp:lastModifiedBy>
  <cp:revision>172</cp:revision>
  <cp:lastPrinted>2019-06-16T11:42:00Z</cp:lastPrinted>
  <dcterms:created xsi:type="dcterms:W3CDTF">2019-06-12T07:58:00Z</dcterms:created>
  <dcterms:modified xsi:type="dcterms:W3CDTF">2019-06-16T11:52:00Z</dcterms:modified>
</cp:coreProperties>
</file>